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0277F591">
      <w:pPr>
        <w:adjustRightInd w:val="0"/>
        <w:snapToGrid w:val="0"/>
        <w:spacing w:line="600" w:lineRule="exact"/>
        <w:jc w:val="center"/>
        <w:rPr>
          <w:rFonts w:eastAsia="方正小标宋简体"/>
          <w:sz w:val="44"/>
          <w:szCs w:val="36"/>
        </w:rPr>
      </w:pPr>
      <w:r>
        <w:rPr>
          <w:rFonts w:hint="eastAsia" w:eastAsia="方正小标宋简体"/>
          <w:sz w:val="44"/>
          <w:szCs w:val="36"/>
        </w:rPr>
        <w:t>弱视治疗设备注册审查指</w:t>
      </w:r>
      <w:bookmarkStart w:id="5" w:name="_GoBack"/>
      <w:bookmarkEnd w:id="5"/>
      <w:r>
        <w:rPr>
          <w:rFonts w:hint="eastAsia" w:eastAsia="方正小标宋简体"/>
          <w:sz w:val="44"/>
          <w:szCs w:val="36"/>
        </w:rPr>
        <w:t>导原则</w:t>
      </w:r>
    </w:p>
    <w:p w14:paraId="4F147525">
      <w:pPr>
        <w:adjustRightInd w:val="0"/>
        <w:snapToGrid w:val="0"/>
        <w:spacing w:line="600" w:lineRule="exact"/>
        <w:jc w:val="center"/>
        <w:rPr>
          <w:rFonts w:eastAsia="方正小标宋简体"/>
          <w:sz w:val="44"/>
          <w:szCs w:val="36"/>
        </w:rPr>
      </w:pPr>
      <w:r>
        <w:rPr>
          <w:rFonts w:hint="eastAsia" w:eastAsia="方正小标宋简体"/>
          <w:sz w:val="44"/>
          <w:szCs w:val="36"/>
        </w:rPr>
        <w:t>（征求意见稿）</w:t>
      </w:r>
    </w:p>
    <w:p w14:paraId="5EDEF27F">
      <w:pPr>
        <w:spacing w:line="520" w:lineRule="exact"/>
        <w:jc w:val="center"/>
        <w:rPr>
          <w:rFonts w:eastAsia="黑体"/>
          <w:bCs/>
          <w:sz w:val="30"/>
        </w:rPr>
      </w:pPr>
    </w:p>
    <w:p w14:paraId="27AF75AB">
      <w:pPr>
        <w:pStyle w:val="23"/>
        <w:widowControl w:val="0"/>
        <w:spacing w:line="520" w:lineRule="exact"/>
        <w:ind w:firstLine="624"/>
        <w:rPr>
          <w:rFonts w:ascii="Times New Roman" w:hAnsi="Times New Roman" w:eastAsia="仿宋_GB2312"/>
          <w:color w:val="auto"/>
          <w:sz w:val="32"/>
          <w:szCs w:val="28"/>
        </w:rPr>
      </w:pPr>
      <w:r>
        <w:rPr>
          <w:rFonts w:hint="eastAsia" w:ascii="Times New Roman" w:hAnsi="Times New Roman" w:eastAsia="仿宋_GB2312"/>
          <w:color w:val="auto"/>
          <w:sz w:val="32"/>
          <w:szCs w:val="28"/>
        </w:rPr>
        <w:t>本指导原则旨在指导注册申请人（以下简称申请人）对弱视治疗设备的注册申报资料的准备及撰写，同时也为技术审评部门审评注册申报资料提供参考。</w:t>
      </w:r>
    </w:p>
    <w:p w14:paraId="1141ED24">
      <w:pPr>
        <w:spacing w:line="520" w:lineRule="exact"/>
        <w:ind w:firstLine="640" w:firstLineChars="200"/>
        <w:rPr>
          <w:rFonts w:eastAsia="仿宋_GB2312"/>
          <w:sz w:val="32"/>
          <w:szCs w:val="32"/>
        </w:rPr>
      </w:pPr>
      <w:r>
        <w:rPr>
          <w:rFonts w:hint="eastAsia" w:eastAsia="仿宋_GB2312"/>
          <w:sz w:val="32"/>
          <w:szCs w:val="28"/>
        </w:rPr>
        <w:t>本指导原则是对弱视治疗设备的一般要求，</w:t>
      </w:r>
      <w:r>
        <w:rPr>
          <w:rFonts w:hint="eastAsia" w:eastAsia="仿宋_GB2312"/>
          <w:sz w:val="32"/>
          <w:szCs w:val="32"/>
        </w:rPr>
        <w:t>申请人应依据产品的具体特性确定其中内容是否适用。若不适用，需具体阐述理由及相应的科学依据，并依据产品的具体特性对注册申报资料的内容进行充实和细化。</w:t>
      </w:r>
    </w:p>
    <w:p w14:paraId="293328E7">
      <w:pPr>
        <w:overflowPunct w:val="0"/>
        <w:autoSpaceDE w:val="0"/>
        <w:autoSpaceDN w:val="0"/>
        <w:spacing w:line="520" w:lineRule="exact"/>
        <w:ind w:firstLine="640" w:firstLineChars="200"/>
        <w:rPr>
          <w:rFonts w:eastAsia="仿宋_GB2312" w:cs="仿宋_GB2312"/>
          <w:snapToGrid w:val="0"/>
          <w:kern w:val="0"/>
          <w:sz w:val="32"/>
          <w:szCs w:val="32"/>
        </w:rPr>
      </w:pPr>
      <w:r>
        <w:rPr>
          <w:rFonts w:hint="eastAsia" w:eastAsia="仿宋_GB2312"/>
          <w:sz w:val="32"/>
          <w:szCs w:val="32"/>
        </w:rPr>
        <w:t>本指导原则是供申请人和技术审评人员使用的指导文件，</w:t>
      </w:r>
      <w:r>
        <w:rPr>
          <w:rFonts w:hint="eastAsia" w:eastAsia="仿宋_GB2312" w:cs="仿宋_GB2312"/>
          <w:snapToGrid w:val="0"/>
          <w:kern w:val="0"/>
          <w:sz w:val="32"/>
          <w:szCs w:val="32"/>
        </w:rPr>
        <w:t>但不包括注册审批所涉及的行政事项，亦不作为法规强制执行，应在遵循相关法规的前提下使用本指导原则。如果有能够满足相关法规要求的其他方法，也可以采用，但是需要提供详细的研究资料和验证资料。</w:t>
      </w:r>
    </w:p>
    <w:p w14:paraId="70D26E61">
      <w:pPr>
        <w:overflowPunct w:val="0"/>
        <w:autoSpaceDE w:val="0"/>
        <w:autoSpaceDN w:val="0"/>
        <w:spacing w:line="520" w:lineRule="exact"/>
        <w:ind w:firstLine="640" w:firstLineChars="200"/>
        <w:rPr>
          <w:rFonts w:eastAsia="仿宋_GB2312" w:cs="仿宋_GB2312"/>
          <w:snapToGrid w:val="0"/>
          <w:kern w:val="0"/>
          <w:sz w:val="32"/>
          <w:szCs w:val="32"/>
        </w:rPr>
      </w:pPr>
      <w:r>
        <w:rPr>
          <w:rFonts w:hint="eastAsia" w:eastAsia="仿宋_GB2312" w:cs="仿宋_GB2312"/>
          <w:snapToGrid w:val="0"/>
          <w:kern w:val="0"/>
          <w:sz w:val="32"/>
          <w:szCs w:val="32"/>
        </w:rPr>
        <w:t>本指导原则是在现行法规和标准体系以及当前认知水平下制定的，随着法规和标准的不断完善，以及科学技术的不断发展，相关内容也将适时进行调整</w:t>
      </w:r>
      <w:r>
        <w:rPr>
          <w:rFonts w:hint="eastAsia" w:eastAsia="仿宋_GB2312"/>
          <w:sz w:val="32"/>
          <w:szCs w:val="32"/>
        </w:rPr>
        <w:t>。</w:t>
      </w:r>
    </w:p>
    <w:p w14:paraId="3BC2E5B1">
      <w:pPr>
        <w:pStyle w:val="3"/>
      </w:pPr>
      <w:r>
        <w:t>一、适用范围</w:t>
      </w:r>
    </w:p>
    <w:p w14:paraId="3EF29ABB">
      <w:pPr>
        <w:spacing w:line="520" w:lineRule="exact"/>
        <w:ind w:firstLine="640" w:firstLineChars="200"/>
        <w:rPr>
          <w:rFonts w:eastAsia="仿宋_GB2312"/>
          <w:sz w:val="32"/>
          <w:szCs w:val="32"/>
        </w:rPr>
      </w:pPr>
      <w:r>
        <w:rPr>
          <w:rFonts w:hint="eastAsia" w:eastAsia="仿宋_GB2312"/>
          <w:sz w:val="32"/>
          <w:szCs w:val="32"/>
        </w:rPr>
        <w:t>本指导原则适用于含有光源且通过照射眼睛引发视觉反应，用于弱视治疗的第二类医疗器械产品（包括通过训练达到上述目的的产品）。</w:t>
      </w:r>
    </w:p>
    <w:p w14:paraId="7C26D331">
      <w:pPr>
        <w:spacing w:line="520" w:lineRule="exact"/>
        <w:ind w:firstLine="640" w:firstLineChars="200"/>
        <w:rPr>
          <w:rFonts w:eastAsia="仿宋_GB2312"/>
          <w:sz w:val="32"/>
          <w:szCs w:val="32"/>
        </w:rPr>
      </w:pPr>
      <w:r>
        <w:rPr>
          <w:rFonts w:hint="eastAsia" w:eastAsia="仿宋_GB2312"/>
          <w:sz w:val="32"/>
          <w:szCs w:val="32"/>
        </w:rPr>
        <w:t>本指导原则不适用于进行弱视治疗的第三类医疗器械。不适用于眼科测量诊断设备和器具、眼科激光手术治疗设备、眼内照明器具和接触镜产品。不适用于包含人工智能AI、自主学习等功能的治疗设备。带有弱视训练、治疗功能的其他医疗器械可参考本指导原则的适用部分。</w:t>
      </w:r>
    </w:p>
    <w:p w14:paraId="78810824">
      <w:pPr>
        <w:pStyle w:val="3"/>
      </w:pPr>
      <w:r>
        <w:t>二、</w:t>
      </w:r>
      <w:r>
        <w:rPr>
          <w:rFonts w:hint="eastAsia"/>
        </w:rPr>
        <w:t>注册</w:t>
      </w:r>
      <w:r>
        <w:t>审查要点</w:t>
      </w:r>
    </w:p>
    <w:p w14:paraId="09224B56">
      <w:pPr>
        <w:pStyle w:val="4"/>
      </w:pPr>
      <w:r>
        <w:rPr>
          <w:rFonts w:hint="eastAsia"/>
        </w:rPr>
        <w:t>（一）监管信息</w:t>
      </w:r>
    </w:p>
    <w:p w14:paraId="03B0D845">
      <w:pPr>
        <w:pStyle w:val="5"/>
      </w:pPr>
      <w:r>
        <w:rPr>
          <w:rFonts w:hint="eastAsia"/>
        </w:rPr>
        <w:t>1.产品名称</w:t>
      </w:r>
    </w:p>
    <w:p w14:paraId="3265811F">
      <w:pPr>
        <w:spacing w:line="520" w:lineRule="exact"/>
        <w:ind w:firstLine="640" w:firstLineChars="200"/>
        <w:rPr>
          <w:rFonts w:eastAsia="仿宋_GB2312"/>
          <w:sz w:val="32"/>
          <w:szCs w:val="32"/>
        </w:rPr>
      </w:pPr>
      <w:r>
        <w:rPr>
          <w:rFonts w:hint="eastAsia" w:eastAsia="仿宋_GB2312"/>
          <w:sz w:val="32"/>
          <w:szCs w:val="32"/>
        </w:rPr>
        <w:t>产品的名称应为通用名称，产品命名应符合《医疗器械通用名称命名规则》、《医疗器械分类目录》、国家标准、行业标准等相关法规、规范性文件中的通用名称要求。产品名称通常由一个核心词和不超过三个的特征词组成，并以体现产品技术结构特征、功能属性为基本准则，例如：弱视治疗仪、弱视训练仪。</w:t>
      </w:r>
    </w:p>
    <w:p w14:paraId="7B17429F">
      <w:pPr>
        <w:pStyle w:val="5"/>
      </w:pPr>
      <w:r>
        <w:rPr>
          <w:rFonts w:hint="eastAsia"/>
        </w:rPr>
        <w:t>2.分类编码</w:t>
      </w:r>
    </w:p>
    <w:p w14:paraId="4663CF17">
      <w:pPr>
        <w:spacing w:line="520" w:lineRule="exact"/>
        <w:ind w:firstLine="640" w:firstLineChars="200"/>
        <w:rPr>
          <w:rFonts w:eastAsia="仿宋_GB2312"/>
          <w:sz w:val="32"/>
          <w:szCs w:val="32"/>
        </w:rPr>
      </w:pPr>
      <w:r>
        <w:rPr>
          <w:rFonts w:hint="eastAsia" w:eastAsia="仿宋_GB2312"/>
          <w:sz w:val="32"/>
          <w:szCs w:val="32"/>
        </w:rPr>
        <w:t>根据《医疗器械分类目录》、《近视控制、弱视治疗类医疗器械产品分类界定指导原则》（征求意见稿）以非激光的其他类型光作为光源，通过闪光、光栅、光刷、后像、脱抑制、立体视、融合视，以及视觉追踪、对比度训练、敏感度训练、精细目力训练的方式引发视觉刺激，用于弱视治疗，分类编码为1</w:t>
      </w:r>
      <w:r>
        <w:rPr>
          <w:rFonts w:eastAsia="仿宋_GB2312"/>
          <w:sz w:val="32"/>
          <w:szCs w:val="32"/>
        </w:rPr>
        <w:t>6-03-03</w:t>
      </w:r>
      <w:r>
        <w:rPr>
          <w:rFonts w:hint="eastAsia" w:eastAsia="仿宋_GB2312"/>
          <w:sz w:val="32"/>
          <w:szCs w:val="32"/>
        </w:rPr>
        <w:t>视觉治疗设备，按照第二类医疗器械管理。</w:t>
      </w:r>
    </w:p>
    <w:p w14:paraId="7E0C6C9C">
      <w:pPr>
        <w:pStyle w:val="5"/>
        <w:ind w:firstLine="624"/>
      </w:pPr>
      <w:r>
        <w:rPr>
          <w:spacing w:val="-4"/>
        </w:rPr>
        <w:t>3</w:t>
      </w:r>
      <w:r>
        <w:rPr>
          <w:rFonts w:hint="eastAsia"/>
          <w:spacing w:val="-4"/>
        </w:rPr>
        <w:t>.</w:t>
      </w:r>
      <w:r>
        <w:rPr>
          <w:rFonts w:hint="eastAsia"/>
        </w:rPr>
        <w:t>注册单元划分</w:t>
      </w:r>
    </w:p>
    <w:p w14:paraId="3DAF92E9">
      <w:pPr>
        <w:spacing w:line="520" w:lineRule="exact"/>
        <w:ind w:firstLine="640" w:firstLineChars="200"/>
        <w:rPr>
          <w:rFonts w:eastAsia="仿宋_GB2312"/>
          <w:sz w:val="32"/>
          <w:szCs w:val="32"/>
        </w:rPr>
      </w:pPr>
      <w:r>
        <w:rPr>
          <w:rFonts w:hint="eastAsia" w:eastAsia="仿宋_GB2312"/>
          <w:sz w:val="32"/>
          <w:szCs w:val="32"/>
        </w:rPr>
        <w:t>产品注册单元划分可参照《医疗器械注册单元划分指导原则》的要求，注册单元划分着重考虑产品的技术原理、结构组成、性能指标及适用范围等因素。</w:t>
      </w:r>
    </w:p>
    <w:p w14:paraId="13A3C066">
      <w:pPr>
        <w:spacing w:line="520" w:lineRule="exact"/>
        <w:ind w:firstLine="640" w:firstLineChars="200"/>
        <w:rPr>
          <w:rFonts w:eastAsia="仿宋_GB2312"/>
          <w:sz w:val="32"/>
          <w:szCs w:val="32"/>
        </w:rPr>
      </w:pPr>
      <w:r>
        <w:rPr>
          <w:rFonts w:hint="eastAsia" w:eastAsia="仿宋_GB2312"/>
          <w:sz w:val="32"/>
          <w:szCs w:val="32"/>
        </w:rPr>
        <w:t>例如：</w:t>
      </w:r>
      <w:r>
        <w:rPr>
          <w:rFonts w:eastAsia="仿宋_GB2312"/>
          <w:sz w:val="32"/>
          <w:szCs w:val="32"/>
        </w:rPr>
        <w:t>技术原理相同，但产品主要结构、组成的不同对安全有效性有影响的</w:t>
      </w:r>
      <w:r>
        <w:rPr>
          <w:rFonts w:hint="eastAsia" w:eastAsia="仿宋_GB2312"/>
          <w:sz w:val="32"/>
          <w:szCs w:val="32"/>
        </w:rPr>
        <w:t>，</w:t>
      </w:r>
      <w:r>
        <w:rPr>
          <w:rFonts w:eastAsia="仿宋_GB2312"/>
          <w:sz w:val="32"/>
          <w:szCs w:val="32"/>
        </w:rPr>
        <w:t>原则上划分为不同注册单元。</w:t>
      </w:r>
      <w:r>
        <w:rPr>
          <w:rFonts w:hint="eastAsia" w:eastAsia="仿宋_GB2312"/>
          <w:sz w:val="32"/>
          <w:szCs w:val="32"/>
        </w:rPr>
        <w:t>如头戴式弱视治疗仪与台式弱视治疗仪，应划分为不同注册单元。</w:t>
      </w:r>
    </w:p>
    <w:p w14:paraId="6AD1386E">
      <w:pPr>
        <w:spacing w:line="520" w:lineRule="exact"/>
        <w:ind w:left="640"/>
        <w:rPr>
          <w:rFonts w:eastAsia="仿宋_GB2312"/>
          <w:sz w:val="32"/>
          <w:szCs w:val="32"/>
        </w:rPr>
      </w:pPr>
      <w:r>
        <w:rPr>
          <w:rFonts w:hint="eastAsia" w:eastAsia="仿宋_GB2312"/>
          <w:sz w:val="32"/>
          <w:szCs w:val="32"/>
        </w:rPr>
        <w:t>4.其他管理信息</w:t>
      </w:r>
    </w:p>
    <w:p w14:paraId="36C14064">
      <w:pPr>
        <w:spacing w:line="520" w:lineRule="exact"/>
        <w:ind w:firstLine="640" w:firstLineChars="200"/>
      </w:pPr>
      <w:r>
        <w:rPr>
          <w:rFonts w:hint="eastAsia" w:eastAsia="仿宋_GB2312"/>
          <w:sz w:val="32"/>
          <w:szCs w:val="32"/>
        </w:rPr>
        <w:t>应符合《关于公布医疗器械注册申报资料要求和批准证明文件格式的公告》要求。</w:t>
      </w:r>
    </w:p>
    <w:p w14:paraId="0C556A10">
      <w:pPr>
        <w:pStyle w:val="4"/>
      </w:pPr>
      <w:r>
        <w:t>（</w:t>
      </w:r>
      <w:r>
        <w:rPr>
          <w:rFonts w:hint="eastAsia"/>
        </w:rPr>
        <w:t>二</w:t>
      </w:r>
      <w:r>
        <w:t>）</w:t>
      </w:r>
      <w:r>
        <w:rPr>
          <w:rFonts w:hint="eastAsia"/>
        </w:rPr>
        <w:t>综述资料</w:t>
      </w:r>
    </w:p>
    <w:p w14:paraId="43D29BD0">
      <w:pPr>
        <w:pStyle w:val="5"/>
      </w:pPr>
      <w:r>
        <w:rPr>
          <w:rFonts w:hint="eastAsia"/>
        </w:rPr>
        <w:t>1.产品描述</w:t>
      </w:r>
    </w:p>
    <w:p w14:paraId="01B056A7">
      <w:pPr>
        <w:spacing w:line="520" w:lineRule="exact"/>
        <w:ind w:firstLine="640" w:firstLineChars="200"/>
        <w:rPr>
          <w:rFonts w:eastAsia="仿宋_GB2312"/>
          <w:sz w:val="32"/>
          <w:szCs w:val="32"/>
        </w:rPr>
      </w:pPr>
      <w:r>
        <w:rPr>
          <w:rFonts w:hint="eastAsia" w:eastAsia="仿宋_GB2312"/>
          <w:sz w:val="32"/>
          <w:szCs w:val="32"/>
        </w:rPr>
        <w:t>1.1器械及操作原理描述</w:t>
      </w:r>
    </w:p>
    <w:p w14:paraId="64F90135">
      <w:pPr>
        <w:spacing w:line="520" w:lineRule="exact"/>
        <w:ind w:firstLine="640" w:firstLineChars="200"/>
        <w:rPr>
          <w:rFonts w:eastAsia="仿宋_GB2312"/>
          <w:sz w:val="32"/>
          <w:szCs w:val="32"/>
        </w:rPr>
      </w:pPr>
      <w:r>
        <w:rPr>
          <w:rFonts w:hint="eastAsia" w:eastAsia="仿宋_GB2312"/>
          <w:sz w:val="32"/>
          <w:szCs w:val="32"/>
        </w:rPr>
        <w:t>1.1.1工作原理</w:t>
      </w:r>
    </w:p>
    <w:p w14:paraId="5D25A5B9">
      <w:pPr>
        <w:spacing w:line="520" w:lineRule="exact"/>
        <w:ind w:firstLine="640" w:firstLineChars="200"/>
        <w:rPr>
          <w:rFonts w:eastAsia="仿宋_GB2312"/>
          <w:sz w:val="32"/>
          <w:szCs w:val="32"/>
        </w:rPr>
      </w:pPr>
      <w:r>
        <w:rPr>
          <w:rFonts w:hint="eastAsia" w:eastAsia="仿宋_GB2312"/>
          <w:sz w:val="32"/>
          <w:szCs w:val="32"/>
        </w:rPr>
        <w:t>弱视治疗设备的工作原理一般分为如下两类：</w:t>
      </w:r>
    </w:p>
    <w:p w14:paraId="3FB04578">
      <w:pPr>
        <w:spacing w:line="520" w:lineRule="exact"/>
        <w:ind w:firstLine="640" w:firstLineChars="200"/>
        <w:rPr>
          <w:rFonts w:eastAsia="仿宋_GB2312"/>
          <w:sz w:val="32"/>
          <w:szCs w:val="32"/>
        </w:rPr>
      </w:pPr>
      <w:r>
        <w:rPr>
          <w:rFonts w:hint="eastAsia" w:eastAsia="仿宋_GB2312"/>
          <w:sz w:val="32"/>
          <w:szCs w:val="32"/>
        </w:rPr>
        <w:t>(a)设备由各种视功能视标、</w:t>
      </w:r>
      <w:bookmarkStart w:id="0" w:name="_Hlk178335489"/>
      <w:r>
        <w:rPr>
          <w:rFonts w:hint="eastAsia" w:eastAsia="仿宋_GB2312"/>
          <w:sz w:val="32"/>
          <w:szCs w:val="32"/>
        </w:rPr>
        <w:t>光学观察系统</w:t>
      </w:r>
      <w:bookmarkEnd w:id="0"/>
      <w:r>
        <w:rPr>
          <w:rFonts w:hint="eastAsia" w:eastAsia="仿宋_GB2312"/>
          <w:sz w:val="32"/>
          <w:szCs w:val="32"/>
        </w:rPr>
        <w:t>或屏显系统组成。光学观察系统由一系列球镜片、棱镜片、柱镜片、辅助镜片及各种调整部件构成，通过电机等机械部件控制光学镜片的切换、增加、减少以及组合的变化。利用计算机图像技术在视标显示屏上进行不同视功能视标（图像、图标、文字、动画等）的显示、变化以及各个方向的运动。通过视标和光学观察系统的变化进行闪光、光栅、光刷、后像、脱抑制、立体视、融合视，以及视觉追踪、对比度训练、敏感度训练、精细目力训练的方式引发视觉刺激，实现弱视的治疗。</w:t>
      </w:r>
    </w:p>
    <w:p w14:paraId="519D200C">
      <w:pPr>
        <w:spacing w:line="520" w:lineRule="exact"/>
        <w:ind w:firstLine="640" w:firstLineChars="200"/>
        <w:rPr>
          <w:rFonts w:eastAsia="仿宋_GB2312"/>
          <w:sz w:val="32"/>
          <w:szCs w:val="32"/>
        </w:rPr>
      </w:pPr>
      <w:r>
        <w:rPr>
          <w:rFonts w:hint="eastAsia" w:eastAsia="仿宋_GB2312"/>
          <w:sz w:val="32"/>
          <w:szCs w:val="32"/>
        </w:rPr>
        <w:t>(b)设备运用双眼合像和自动调焦的原理，以物象为引导视标，利用双眼分视两个相同画面（仿立体）或像差画面（全息立体），模拟双眼立体成像过程，让双眼跟随画面中的物象做往复运动，改善双眼调节功能、双眼视功能，实现弱视的治疗。</w:t>
      </w:r>
    </w:p>
    <w:p w14:paraId="6865D6B2">
      <w:pPr>
        <w:spacing w:line="520" w:lineRule="exact"/>
        <w:ind w:firstLine="640" w:firstLineChars="200"/>
        <w:rPr>
          <w:rFonts w:eastAsia="仿宋_GB2312"/>
          <w:sz w:val="32"/>
          <w:szCs w:val="32"/>
        </w:rPr>
      </w:pPr>
      <w:r>
        <w:rPr>
          <w:rFonts w:hint="eastAsia" w:eastAsia="仿宋_GB2312"/>
          <w:sz w:val="32"/>
          <w:szCs w:val="32"/>
        </w:rPr>
        <w:t>申请人应当描述产品的工作原理、主要功能及其组成部件的功能以及软件的核心功能（软件功能不包含人工智能AI、自主学习等功能）、产品图示、区别于其他同类产品的特征等内容。</w:t>
      </w:r>
    </w:p>
    <w:p w14:paraId="25EA5D28">
      <w:pPr>
        <w:spacing w:line="520" w:lineRule="exact"/>
        <w:ind w:firstLine="640" w:firstLineChars="200"/>
        <w:rPr>
          <w:rFonts w:eastAsia="仿宋_GB2312"/>
          <w:sz w:val="32"/>
          <w:szCs w:val="32"/>
        </w:rPr>
      </w:pPr>
      <w:r>
        <w:rPr>
          <w:rFonts w:hint="eastAsia" w:eastAsia="仿宋_GB2312"/>
          <w:sz w:val="32"/>
          <w:szCs w:val="32"/>
        </w:rPr>
        <w:t>1.1.</w:t>
      </w:r>
      <w:r>
        <w:rPr>
          <w:rFonts w:eastAsia="仿宋_GB2312"/>
          <w:sz w:val="32"/>
          <w:szCs w:val="32"/>
        </w:rPr>
        <w:t>2</w:t>
      </w:r>
      <w:r>
        <w:rPr>
          <w:rFonts w:hint="eastAsia" w:eastAsia="仿宋_GB2312"/>
          <w:sz w:val="32"/>
          <w:szCs w:val="32"/>
        </w:rPr>
        <w:t>作用机理</w:t>
      </w:r>
    </w:p>
    <w:p w14:paraId="2B048FFD">
      <w:pPr>
        <w:spacing w:line="520" w:lineRule="exact"/>
        <w:ind w:firstLine="640" w:firstLineChars="200"/>
        <w:rPr>
          <w:rFonts w:eastAsia="仿宋_GB2312"/>
          <w:sz w:val="32"/>
          <w:szCs w:val="32"/>
        </w:rPr>
      </w:pPr>
      <w:r>
        <w:rPr>
          <w:rFonts w:hint="eastAsia" w:eastAsia="仿宋_GB2312"/>
          <w:sz w:val="32"/>
          <w:szCs w:val="32"/>
        </w:rPr>
        <w:t>弱视治疗设备具有治疗功能，申请人应当描述产品的作用原理。描述弱视治疗设备中采用的</w:t>
      </w:r>
      <w:r>
        <w:rPr>
          <w:rFonts w:hint="eastAsia" w:eastAsia="仿宋_GB2312"/>
          <w:sz w:val="32"/>
          <w:szCs w:val="32"/>
          <w:lang w:bidi="ar"/>
        </w:rPr>
        <w:t>闪烁</w:t>
      </w:r>
      <w:r>
        <w:rPr>
          <w:rFonts w:hint="eastAsia" w:eastAsia="仿宋_GB2312"/>
          <w:sz w:val="32"/>
          <w:szCs w:val="32"/>
        </w:rPr>
        <w:t>、光栅、光刷、后像、脱抑制、立体视、融合视，以及视觉追踪、对比度训练、敏感度训练、精细目力训练、调节训练的具体作用机理及临床参考资料</w:t>
      </w:r>
      <w:r>
        <w:rPr>
          <w:rFonts w:eastAsia="仿宋_GB2312"/>
          <w:sz w:val="32"/>
          <w:szCs w:val="32"/>
        </w:rPr>
        <w:t>。</w:t>
      </w:r>
    </w:p>
    <w:p w14:paraId="6914A92F">
      <w:pPr>
        <w:spacing w:line="520" w:lineRule="exact"/>
        <w:ind w:firstLine="640" w:firstLineChars="200"/>
        <w:rPr>
          <w:rFonts w:eastAsia="仿宋_GB2312"/>
          <w:sz w:val="32"/>
          <w:szCs w:val="32"/>
        </w:rPr>
      </w:pPr>
      <w:r>
        <w:rPr>
          <w:rFonts w:hint="eastAsia" w:eastAsia="仿宋_GB2312"/>
          <w:sz w:val="32"/>
          <w:szCs w:val="32"/>
        </w:rPr>
        <w:t>1.1.</w:t>
      </w:r>
      <w:r>
        <w:rPr>
          <w:rFonts w:eastAsia="仿宋_GB2312"/>
          <w:sz w:val="32"/>
          <w:szCs w:val="32"/>
        </w:rPr>
        <w:t>3</w:t>
      </w:r>
      <w:r>
        <w:rPr>
          <w:rFonts w:hint="eastAsia" w:eastAsia="仿宋_GB2312"/>
          <w:sz w:val="32"/>
          <w:szCs w:val="32"/>
        </w:rPr>
        <w:t>结构组成</w:t>
      </w:r>
    </w:p>
    <w:p w14:paraId="58AB6CD4">
      <w:pPr>
        <w:spacing w:line="520" w:lineRule="exact"/>
        <w:ind w:firstLine="640" w:firstLineChars="200"/>
        <w:rPr>
          <w:rFonts w:eastAsia="仿宋_GB2312"/>
          <w:sz w:val="32"/>
          <w:szCs w:val="32"/>
        </w:rPr>
      </w:pPr>
      <w:r>
        <w:rPr>
          <w:rFonts w:hint="eastAsia" w:eastAsia="仿宋_GB2312"/>
          <w:sz w:val="32"/>
          <w:szCs w:val="32"/>
        </w:rPr>
        <w:t>申请人应当明确申报产品的结构和组成，弱视治疗设备通常设备由各种视功能视标、光学观察系统或屏显系统以及视觉训练软件组成。若含有多个组成部分，应说明其连接或组装关系。如主机与视标显示屏幕之间的通讯介质形式（蓝牙、W</w:t>
      </w:r>
      <w:r>
        <w:rPr>
          <w:rFonts w:eastAsia="仿宋_GB2312"/>
          <w:sz w:val="32"/>
          <w:szCs w:val="32"/>
        </w:rPr>
        <w:t>IFI</w:t>
      </w:r>
      <w:r>
        <w:rPr>
          <w:rFonts w:hint="eastAsia" w:eastAsia="仿宋_GB2312"/>
          <w:sz w:val="32"/>
          <w:szCs w:val="32"/>
        </w:rPr>
        <w:t>等）。产品典型结构示意图见图1。</w:t>
      </w:r>
    </w:p>
    <w:p w14:paraId="20427580">
      <w:pPr>
        <w:pStyle w:val="2"/>
      </w:pPr>
      <w:r>
        <w:drawing>
          <wp:inline distT="0" distB="0" distL="0" distR="0">
            <wp:extent cx="5270500" cy="3689985"/>
            <wp:effectExtent l="0" t="0" r="6350" b="5715"/>
            <wp:docPr id="13753242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324216"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0500" cy="3689985"/>
                    </a:xfrm>
                    <a:prstGeom prst="rect">
                      <a:avLst/>
                    </a:prstGeom>
                    <a:noFill/>
                    <a:ln>
                      <a:noFill/>
                    </a:ln>
                  </pic:spPr>
                </pic:pic>
              </a:graphicData>
            </a:graphic>
          </wp:inline>
        </w:drawing>
      </w:r>
    </w:p>
    <w:p w14:paraId="01C8E1B0">
      <w:pPr>
        <w:pStyle w:val="2"/>
      </w:pPr>
      <w:r>
        <w:rPr>
          <w:rFonts w:hint="eastAsia"/>
        </w:rPr>
        <w:t>图1 视觉训练仪典型结构示意图</w:t>
      </w:r>
    </w:p>
    <w:p w14:paraId="437AEB6A">
      <w:pPr>
        <w:spacing w:line="520" w:lineRule="exact"/>
        <w:ind w:firstLine="640" w:firstLineChars="200"/>
        <w:rPr>
          <w:rFonts w:eastAsia="仿宋_GB2312"/>
          <w:sz w:val="32"/>
          <w:szCs w:val="32"/>
        </w:rPr>
      </w:pPr>
      <w:r>
        <w:rPr>
          <w:rFonts w:hint="eastAsia" w:eastAsia="仿宋_GB2312"/>
          <w:sz w:val="32"/>
          <w:szCs w:val="32"/>
        </w:rPr>
        <w:t>1.2型号规格</w:t>
      </w:r>
    </w:p>
    <w:p w14:paraId="5DA618A6">
      <w:pPr>
        <w:spacing w:line="520" w:lineRule="exact"/>
        <w:ind w:firstLine="640" w:firstLineChars="200"/>
        <w:rPr>
          <w:rFonts w:eastAsia="仿宋_GB2312"/>
          <w:sz w:val="32"/>
          <w:szCs w:val="32"/>
        </w:rPr>
      </w:pPr>
      <w:r>
        <w:rPr>
          <w:rFonts w:hint="eastAsia" w:eastAsia="仿宋_GB2312"/>
          <w:sz w:val="32"/>
          <w:szCs w:val="32"/>
        </w:rPr>
        <w:t>提供产品各型号规格的划分原则。对于存在多种型号、规格的产品，需明确各型号、规格的区别。需采用对比表及带有说明性文字的图片、图表，对各种型号、规格的结构组成、功能、产品特征和运行模式、技术参数等方面加以描述。</w:t>
      </w:r>
    </w:p>
    <w:p w14:paraId="480C7BA9">
      <w:pPr>
        <w:spacing w:line="520" w:lineRule="exact"/>
        <w:ind w:firstLine="640" w:firstLineChars="200"/>
        <w:rPr>
          <w:rFonts w:eastAsia="仿宋_GB2312"/>
          <w:sz w:val="32"/>
          <w:szCs w:val="32"/>
        </w:rPr>
      </w:pPr>
      <w:r>
        <w:rPr>
          <w:rFonts w:hint="eastAsia" w:eastAsia="仿宋_GB2312"/>
          <w:sz w:val="32"/>
          <w:szCs w:val="32"/>
        </w:rPr>
        <w:t>1.3包装说明</w:t>
      </w:r>
    </w:p>
    <w:p w14:paraId="2F69050A">
      <w:pPr>
        <w:spacing w:line="520" w:lineRule="exact"/>
        <w:ind w:firstLine="640" w:firstLineChars="200"/>
        <w:rPr>
          <w:rFonts w:eastAsia="仿宋_GB2312"/>
          <w:sz w:val="32"/>
          <w:szCs w:val="32"/>
        </w:rPr>
      </w:pPr>
      <w:r>
        <w:rPr>
          <w:rFonts w:hint="eastAsia" w:eastAsia="仿宋_GB2312"/>
          <w:sz w:val="32"/>
          <w:szCs w:val="32"/>
        </w:rPr>
        <w:t>申请人应说明所有产品组成的包装信息。描述产品包装的组成部分，对于每个组成部分，详细描述包装清单和包装方式，并提供包装图示。</w:t>
      </w:r>
    </w:p>
    <w:p w14:paraId="6AF32812">
      <w:pPr>
        <w:spacing w:line="520" w:lineRule="exact"/>
        <w:ind w:firstLine="640" w:firstLineChars="200"/>
        <w:rPr>
          <w:rFonts w:eastAsia="仿宋_GB2312"/>
          <w:sz w:val="32"/>
          <w:szCs w:val="32"/>
        </w:rPr>
      </w:pPr>
      <w:r>
        <w:rPr>
          <w:rFonts w:hint="eastAsia" w:eastAsia="仿宋_GB2312"/>
          <w:sz w:val="32"/>
          <w:szCs w:val="32"/>
        </w:rPr>
        <w:t>1.4研发历程</w:t>
      </w:r>
    </w:p>
    <w:p w14:paraId="0D5539C5">
      <w:pPr>
        <w:spacing w:line="520" w:lineRule="exact"/>
        <w:ind w:firstLine="640" w:firstLineChars="200"/>
        <w:rPr>
          <w:rFonts w:eastAsia="仿宋_GB2312"/>
          <w:sz w:val="32"/>
          <w:szCs w:val="32"/>
        </w:rPr>
      </w:pPr>
      <w:r>
        <w:rPr>
          <w:rFonts w:hint="eastAsia" w:eastAsia="仿宋_GB2312"/>
          <w:sz w:val="32"/>
          <w:szCs w:val="32"/>
        </w:rPr>
        <w:t>阐述申请注册产品的研发背景和目的。如有参考的同类产品或前代产品，需提供同类产品或前代产品的信息，并说明选择其作为研发参考的原因。</w:t>
      </w:r>
    </w:p>
    <w:p w14:paraId="1995FE87">
      <w:pPr>
        <w:spacing w:line="520" w:lineRule="exact"/>
        <w:ind w:firstLine="640" w:firstLineChars="200"/>
        <w:rPr>
          <w:rFonts w:eastAsia="仿宋_GB2312"/>
          <w:sz w:val="32"/>
          <w:szCs w:val="32"/>
        </w:rPr>
      </w:pPr>
      <w:r>
        <w:rPr>
          <w:rFonts w:hint="eastAsia" w:eastAsia="仿宋_GB2312"/>
          <w:sz w:val="32"/>
          <w:szCs w:val="32"/>
        </w:rPr>
        <w:t>1.5与同类和/或前代产品的参考和比较</w:t>
      </w:r>
    </w:p>
    <w:p w14:paraId="2A525138">
      <w:pPr>
        <w:spacing w:line="520" w:lineRule="exact"/>
        <w:ind w:firstLine="640" w:firstLineChars="200"/>
        <w:rPr>
          <w:rFonts w:eastAsia="仿宋_GB2312"/>
          <w:sz w:val="32"/>
          <w:szCs w:val="32"/>
        </w:rPr>
      </w:pPr>
      <w:r>
        <w:rPr>
          <w:rFonts w:hint="eastAsia" w:eastAsia="仿宋_GB2312"/>
          <w:sz w:val="32"/>
          <w:szCs w:val="32"/>
        </w:rPr>
        <w:t>列表比较说明申报产品与同类产品和/或前代产品在工作原理、结构组成、制造材料、性能指标、以及适用范围等方面的异同。</w:t>
      </w:r>
    </w:p>
    <w:p w14:paraId="33029275">
      <w:pPr>
        <w:spacing w:line="520" w:lineRule="exact"/>
        <w:ind w:firstLine="640" w:firstLineChars="200"/>
        <w:rPr>
          <w:rFonts w:eastAsia="仿宋_GB2312"/>
          <w:sz w:val="32"/>
          <w:szCs w:val="32"/>
        </w:rPr>
      </w:pPr>
      <w:r>
        <w:rPr>
          <w:rFonts w:hint="eastAsia" w:eastAsia="仿宋_GB2312"/>
          <w:sz w:val="32"/>
          <w:szCs w:val="32"/>
        </w:rPr>
        <w:t>如适用，明确与申报产品联合使用实现预期用途的其他产品的详细信息。对于已获得批准的部件或联合使用的医疗器械，应当提供注册证编号和国家药监局官方网站公布的注册证信息。</w:t>
      </w:r>
    </w:p>
    <w:p w14:paraId="04B9666D">
      <w:pPr>
        <w:spacing w:line="520" w:lineRule="exact"/>
        <w:ind w:firstLine="640" w:firstLineChars="200"/>
        <w:rPr>
          <w:rFonts w:eastAsia="仿宋_GB2312"/>
          <w:sz w:val="32"/>
          <w:szCs w:val="32"/>
        </w:rPr>
      </w:pPr>
      <w:r>
        <w:rPr>
          <w:rFonts w:hint="eastAsia" w:eastAsia="仿宋_GB2312"/>
          <w:sz w:val="32"/>
          <w:szCs w:val="32"/>
        </w:rPr>
        <w:t>2.适用范围和禁忌证</w:t>
      </w:r>
    </w:p>
    <w:p w14:paraId="579B27DB">
      <w:pPr>
        <w:spacing w:line="520" w:lineRule="exact"/>
        <w:ind w:firstLine="640" w:firstLineChars="200"/>
        <w:rPr>
          <w:rFonts w:eastAsia="仿宋_GB2312"/>
          <w:sz w:val="32"/>
          <w:szCs w:val="32"/>
        </w:rPr>
      </w:pPr>
      <w:r>
        <w:rPr>
          <w:rFonts w:hint="eastAsia" w:eastAsia="仿宋_GB2312"/>
          <w:sz w:val="32"/>
          <w:szCs w:val="32"/>
        </w:rPr>
        <w:t>2.1适用范围</w:t>
      </w:r>
    </w:p>
    <w:p w14:paraId="7654E89A">
      <w:pPr>
        <w:spacing w:line="520" w:lineRule="exact"/>
        <w:ind w:firstLine="640" w:firstLineChars="200"/>
        <w:rPr>
          <w:rFonts w:eastAsia="仿宋_GB2312"/>
          <w:sz w:val="32"/>
          <w:szCs w:val="32"/>
        </w:rPr>
      </w:pPr>
      <w:r>
        <w:rPr>
          <w:rFonts w:hint="eastAsia" w:eastAsia="仿宋_GB2312"/>
          <w:sz w:val="32"/>
          <w:szCs w:val="32"/>
        </w:rPr>
        <w:t>描述申报产品的预期用途，明确目标用户及其操作或使用该产品应当具备的技能/知识/培训。说明与其组合使用实现预期用途的其他产品。产品的适用范围应与申报产品的性能、功能相符，并应与临床评价资料结论一致。</w:t>
      </w:r>
    </w:p>
    <w:p w14:paraId="326C594D">
      <w:pPr>
        <w:spacing w:line="520" w:lineRule="exact"/>
        <w:ind w:firstLine="640" w:firstLineChars="200"/>
        <w:rPr>
          <w:rFonts w:eastAsia="仿宋_GB2312"/>
          <w:sz w:val="32"/>
          <w:szCs w:val="32"/>
        </w:rPr>
      </w:pPr>
      <w:r>
        <w:rPr>
          <w:rFonts w:hint="eastAsia" w:eastAsia="仿宋_GB2312"/>
          <w:sz w:val="32"/>
          <w:szCs w:val="32"/>
        </w:rPr>
        <w:t>例如产品的适用范围为：该产品适用于xx岁到xx岁人群弱视的辅助治疗，用户需在专业医师指导下使用。</w:t>
      </w:r>
    </w:p>
    <w:p w14:paraId="01AAB478">
      <w:pPr>
        <w:spacing w:line="520" w:lineRule="exact"/>
        <w:ind w:firstLine="640" w:firstLineChars="200"/>
        <w:rPr>
          <w:rFonts w:eastAsia="仿宋_GB2312"/>
          <w:sz w:val="32"/>
          <w:szCs w:val="32"/>
        </w:rPr>
      </w:pPr>
      <w:r>
        <w:rPr>
          <w:rFonts w:hint="eastAsia" w:eastAsia="仿宋_GB2312"/>
          <w:sz w:val="32"/>
          <w:szCs w:val="32"/>
        </w:rPr>
        <w:t>如果有创新的临床应用，需要在产品适用范围中描述。</w:t>
      </w:r>
    </w:p>
    <w:p w14:paraId="0CDA1CBD">
      <w:pPr>
        <w:spacing w:line="520" w:lineRule="exact"/>
        <w:ind w:firstLine="640" w:firstLineChars="200"/>
        <w:rPr>
          <w:rFonts w:eastAsia="仿宋_GB2312"/>
          <w:sz w:val="32"/>
          <w:szCs w:val="32"/>
        </w:rPr>
      </w:pPr>
      <w:r>
        <w:rPr>
          <w:rFonts w:hint="eastAsia" w:eastAsia="仿宋_GB2312"/>
          <w:sz w:val="32"/>
          <w:szCs w:val="32"/>
        </w:rPr>
        <w:t>2.2预期使用环境</w:t>
      </w:r>
    </w:p>
    <w:p w14:paraId="268D3A88">
      <w:pPr>
        <w:spacing w:line="520" w:lineRule="exact"/>
        <w:ind w:firstLine="640" w:firstLineChars="200"/>
        <w:rPr>
          <w:rFonts w:eastAsia="仿宋_GB2312"/>
          <w:sz w:val="32"/>
          <w:szCs w:val="32"/>
        </w:rPr>
      </w:pPr>
      <w:r>
        <w:rPr>
          <w:rFonts w:hint="eastAsia" w:eastAsia="仿宋_GB2312"/>
          <w:sz w:val="32"/>
          <w:szCs w:val="32"/>
        </w:rPr>
        <w:t>明确该产品预期使用的地点、可能影响其安全性和有效性的环境条件。应明确对设备使用地点和使用环境的要求。应依据环境试验或相关研究资料明确设备安装、使用环境要求，包括</w:t>
      </w:r>
      <w:r>
        <w:rPr>
          <w:rFonts w:eastAsia="仿宋_GB2312"/>
          <w:sz w:val="32"/>
          <w:szCs w:val="32"/>
        </w:rPr>
        <w:t>如温度、湿度、压力、移动、振动、海拔等</w:t>
      </w:r>
      <w:r>
        <w:rPr>
          <w:rFonts w:hint="eastAsia" w:eastAsia="仿宋_GB2312"/>
          <w:sz w:val="32"/>
          <w:szCs w:val="32"/>
        </w:rPr>
        <w:t>的要求。</w:t>
      </w:r>
    </w:p>
    <w:p w14:paraId="130B42E6">
      <w:pPr>
        <w:spacing w:line="520" w:lineRule="exact"/>
        <w:ind w:firstLine="640" w:firstLineChars="200"/>
        <w:rPr>
          <w:rFonts w:eastAsia="仿宋_GB2312"/>
          <w:sz w:val="32"/>
          <w:szCs w:val="32"/>
        </w:rPr>
      </w:pPr>
      <w:r>
        <w:rPr>
          <w:rFonts w:hint="eastAsia" w:eastAsia="仿宋_GB2312"/>
          <w:sz w:val="32"/>
          <w:szCs w:val="32"/>
        </w:rPr>
        <w:t>例如：本产品预期在各级医院、门诊等医疗机构以及视光中心使用，或用户遵医嘱在家庭使用。设备使用环境：温度范围5℃~40℃，大气压范围为8</w:t>
      </w:r>
      <w:r>
        <w:rPr>
          <w:rFonts w:eastAsia="仿宋_GB2312"/>
          <w:sz w:val="32"/>
          <w:szCs w:val="32"/>
        </w:rPr>
        <w:t>6</w:t>
      </w:r>
      <w:r>
        <w:rPr>
          <w:rFonts w:hint="eastAsia" w:eastAsia="仿宋_GB2312"/>
          <w:sz w:val="32"/>
          <w:szCs w:val="32"/>
        </w:rPr>
        <w:t>～106kPa，最大相对湿度为80%。海拔：2000m。无强光直射；无强干扰电磁场的室内使用。</w:t>
      </w:r>
    </w:p>
    <w:p w14:paraId="3212316F">
      <w:pPr>
        <w:spacing w:line="520" w:lineRule="exact"/>
        <w:ind w:firstLine="640" w:firstLineChars="200"/>
        <w:rPr>
          <w:rFonts w:eastAsia="仿宋_GB2312"/>
          <w:sz w:val="32"/>
          <w:szCs w:val="32"/>
        </w:rPr>
      </w:pPr>
      <w:r>
        <w:rPr>
          <w:rFonts w:hint="eastAsia" w:eastAsia="仿宋_GB2312"/>
          <w:sz w:val="32"/>
          <w:szCs w:val="32"/>
        </w:rPr>
        <w:t>2.3适用人群</w:t>
      </w:r>
    </w:p>
    <w:p w14:paraId="7EFF302C">
      <w:pPr>
        <w:spacing w:line="520" w:lineRule="exact"/>
        <w:ind w:firstLine="640" w:firstLineChars="200"/>
        <w:rPr>
          <w:rFonts w:eastAsia="仿宋_GB2312"/>
          <w:sz w:val="32"/>
          <w:szCs w:val="32"/>
        </w:rPr>
      </w:pPr>
      <w:r>
        <w:rPr>
          <w:rFonts w:hint="eastAsia" w:eastAsia="仿宋_GB2312"/>
          <w:sz w:val="32"/>
          <w:szCs w:val="32"/>
        </w:rPr>
        <w:t>申请人应当明确目标患者人群的信息。如申报产品目标患者人群包含儿童，应当描述预期使用申报产品治疗、诊断、预防、缓解或治愈疾病、病况的非成人特定群体。</w:t>
      </w:r>
    </w:p>
    <w:p w14:paraId="1EE7FD10">
      <w:pPr>
        <w:spacing w:line="520" w:lineRule="exact"/>
        <w:ind w:firstLine="640" w:firstLineChars="200"/>
        <w:rPr>
          <w:rFonts w:eastAsia="仿宋_GB2312"/>
          <w:sz w:val="32"/>
          <w:szCs w:val="32"/>
        </w:rPr>
      </w:pPr>
      <w:r>
        <w:rPr>
          <w:rFonts w:hint="eastAsia" w:eastAsia="仿宋_GB2312"/>
          <w:sz w:val="32"/>
          <w:szCs w:val="32"/>
        </w:rPr>
        <w:t>例如：弱视治疗设备适用于经专业医师诊断确定具有弱视治疗需求的儿童。</w:t>
      </w:r>
    </w:p>
    <w:p w14:paraId="44E40E6D">
      <w:pPr>
        <w:spacing w:line="520" w:lineRule="exact"/>
        <w:ind w:firstLine="640" w:firstLineChars="200"/>
        <w:rPr>
          <w:rFonts w:eastAsia="仿宋_GB2312"/>
          <w:sz w:val="32"/>
          <w:szCs w:val="32"/>
        </w:rPr>
      </w:pPr>
      <w:r>
        <w:rPr>
          <w:rFonts w:hint="eastAsia" w:eastAsia="仿宋_GB2312"/>
          <w:sz w:val="32"/>
          <w:szCs w:val="32"/>
        </w:rPr>
        <w:t>2.4禁忌证</w:t>
      </w:r>
    </w:p>
    <w:p w14:paraId="7C0A4D9A">
      <w:pPr>
        <w:spacing w:line="520" w:lineRule="exact"/>
        <w:ind w:firstLine="640" w:firstLineChars="200"/>
        <w:rPr>
          <w:rFonts w:eastAsia="仿宋_GB2312"/>
          <w:sz w:val="32"/>
          <w:szCs w:val="32"/>
        </w:rPr>
      </w:pPr>
      <w:r>
        <w:rPr>
          <w:rFonts w:hint="eastAsia" w:eastAsia="仿宋_GB2312"/>
          <w:sz w:val="32"/>
          <w:szCs w:val="32"/>
        </w:rPr>
        <w:t>应当明确说明该产品禁忌应用的特定人群、疾病种类等。</w:t>
      </w:r>
    </w:p>
    <w:p w14:paraId="324FFD44">
      <w:pPr>
        <w:spacing w:line="520" w:lineRule="exact"/>
        <w:ind w:firstLine="640" w:firstLineChars="200"/>
        <w:rPr>
          <w:rFonts w:eastAsia="仿宋_GB2312"/>
          <w:sz w:val="32"/>
          <w:szCs w:val="32"/>
        </w:rPr>
      </w:pPr>
      <w:r>
        <w:rPr>
          <w:rFonts w:hint="eastAsia" w:eastAsia="仿宋_GB2312"/>
          <w:sz w:val="32"/>
          <w:szCs w:val="32"/>
        </w:rPr>
        <w:t>例如：存在眼部急慢性炎症、青光眼、圆锥角膜、脉络膜转移瘤、虹膜括约肌撕裂、钝挫伤、眼底病变、眼部化脓性疾病等眼部器质性病变人群禁止使用。</w:t>
      </w:r>
    </w:p>
    <w:p w14:paraId="41B3D7F8">
      <w:pPr>
        <w:spacing w:line="520" w:lineRule="exact"/>
        <w:ind w:firstLine="640" w:firstLineChars="200"/>
        <w:rPr>
          <w:rFonts w:eastAsia="仿宋_GB2312"/>
          <w:sz w:val="32"/>
          <w:szCs w:val="32"/>
        </w:rPr>
      </w:pPr>
      <w:r>
        <w:rPr>
          <w:rFonts w:hint="eastAsia" w:eastAsia="仿宋_GB2312"/>
          <w:sz w:val="32"/>
          <w:szCs w:val="32"/>
        </w:rPr>
        <w:t>3.产品的不良事件历史记录</w:t>
      </w:r>
    </w:p>
    <w:p w14:paraId="2B711CC3">
      <w:pPr>
        <w:spacing w:line="520" w:lineRule="exact"/>
        <w:ind w:firstLine="640" w:firstLineChars="200"/>
        <w:rPr>
          <w:rFonts w:eastAsia="仿宋_GB2312"/>
          <w:sz w:val="32"/>
          <w:szCs w:val="32"/>
        </w:rPr>
      </w:pPr>
      <w:r>
        <w:rPr>
          <w:rFonts w:hint="eastAsia" w:eastAsia="仿宋_GB2312"/>
          <w:sz w:val="32"/>
          <w:szCs w:val="32"/>
        </w:rPr>
        <w:t>如适用，应当提交申报产品的上市情况、不良事件和召回、销售/不良事件及召回率等信息。注册申请人应关注和检索不良事件，在风险分析时关注同品种医疗器械产品的不良事件历史记录。应详细阐述不良事件发生的情况，并根据不良事件的情形分类，分析不良事件发生的原因。</w:t>
      </w:r>
    </w:p>
    <w:p w14:paraId="2D692C3F">
      <w:pPr>
        <w:pStyle w:val="4"/>
      </w:pPr>
      <w:r>
        <w:rPr>
          <w:rFonts w:hint="eastAsia"/>
        </w:rPr>
        <w:t>（三）非临床资料</w:t>
      </w:r>
    </w:p>
    <w:p w14:paraId="36D34AB3">
      <w:pPr>
        <w:pStyle w:val="5"/>
      </w:pPr>
      <w:r>
        <w:rPr>
          <w:rFonts w:hint="eastAsia"/>
        </w:rPr>
        <w:t>1.产品风险管理资料</w:t>
      </w:r>
    </w:p>
    <w:p w14:paraId="62E57863">
      <w:pPr>
        <w:spacing w:line="520" w:lineRule="exact"/>
        <w:ind w:firstLine="640" w:firstLineChars="200"/>
        <w:rPr>
          <w:rFonts w:eastAsia="仿宋_GB2312"/>
          <w:sz w:val="32"/>
          <w:szCs w:val="32"/>
        </w:rPr>
      </w:pPr>
      <w:r>
        <w:rPr>
          <w:rFonts w:hint="eastAsia" w:eastAsia="仿宋_GB2312"/>
          <w:sz w:val="32"/>
          <w:szCs w:val="32"/>
        </w:rPr>
        <w:t>产品风险管理资料是对产品的风险管理过程及其评审的结果予以记录所形成的资料。申请人应按照GB/T 42062《医疗器械 风险管理对医疗器械的应用》的要求对每种可能涉及的危险识别评估，为降低风险所执行风险控制，剩余风险的可接受性评定，产品受益-风险综合评价，并形成风险管理报告。内容应包含：</w:t>
      </w:r>
    </w:p>
    <w:p w14:paraId="1848531F">
      <w:pPr>
        <w:spacing w:line="520" w:lineRule="exact"/>
        <w:ind w:firstLine="640" w:firstLineChars="200"/>
        <w:rPr>
          <w:rFonts w:eastAsia="仿宋_GB2312"/>
          <w:sz w:val="32"/>
          <w:szCs w:val="32"/>
        </w:rPr>
      </w:pPr>
      <w:r>
        <w:rPr>
          <w:rFonts w:hint="eastAsia" w:eastAsia="仿宋_GB2312"/>
          <w:sz w:val="32"/>
          <w:szCs w:val="32"/>
        </w:rPr>
        <w:t>1）风险分析：包括医疗器械适用范围和与安全性有关特征的识别、危害的识别、估计每个危害处境的风险。</w:t>
      </w:r>
    </w:p>
    <w:p w14:paraId="29A987FB">
      <w:pPr>
        <w:spacing w:line="520" w:lineRule="exact"/>
        <w:ind w:firstLine="640" w:firstLineChars="200"/>
        <w:rPr>
          <w:rFonts w:eastAsia="仿宋_GB2312"/>
          <w:sz w:val="32"/>
          <w:szCs w:val="32"/>
        </w:rPr>
      </w:pPr>
      <w:r>
        <w:rPr>
          <w:rFonts w:hint="eastAsia" w:eastAsia="仿宋_GB2312"/>
          <w:sz w:val="32"/>
          <w:szCs w:val="32"/>
        </w:rPr>
        <w:t>2）风险评价：对于每个已识别的危害处境，评价和决定是否需要降低风险，若需要，描述如何进行相应风险控制。</w:t>
      </w:r>
    </w:p>
    <w:p w14:paraId="67D2791B">
      <w:pPr>
        <w:spacing w:line="520" w:lineRule="exact"/>
        <w:ind w:firstLine="640" w:firstLineChars="200"/>
        <w:rPr>
          <w:rFonts w:eastAsia="仿宋_GB2312"/>
          <w:sz w:val="32"/>
          <w:szCs w:val="32"/>
        </w:rPr>
      </w:pPr>
      <w:r>
        <w:rPr>
          <w:rFonts w:hint="eastAsia" w:eastAsia="仿宋_GB2312"/>
          <w:sz w:val="32"/>
          <w:szCs w:val="32"/>
        </w:rPr>
        <w:t>3）风险控制：描述为降低风险所执行风险控制的相关内容。</w:t>
      </w:r>
    </w:p>
    <w:p w14:paraId="107CE13F">
      <w:pPr>
        <w:spacing w:line="520" w:lineRule="exact"/>
        <w:ind w:firstLine="640" w:firstLineChars="200"/>
        <w:rPr>
          <w:rFonts w:eastAsia="仿宋_GB2312"/>
          <w:sz w:val="32"/>
          <w:szCs w:val="32"/>
        </w:rPr>
      </w:pPr>
      <w:r>
        <w:rPr>
          <w:rFonts w:hint="eastAsia" w:eastAsia="仿宋_GB2312"/>
          <w:sz w:val="32"/>
          <w:szCs w:val="32"/>
        </w:rPr>
        <w:t>4）任何一个或多个剩余风险的可接受性评定。</w:t>
      </w:r>
    </w:p>
    <w:p w14:paraId="21D9D899">
      <w:pPr>
        <w:spacing w:line="520" w:lineRule="exact"/>
        <w:ind w:firstLine="640" w:firstLineChars="200"/>
        <w:rPr>
          <w:rFonts w:eastAsia="仿宋_GB2312"/>
          <w:sz w:val="32"/>
          <w:szCs w:val="32"/>
        </w:rPr>
      </w:pPr>
      <w:r>
        <w:rPr>
          <w:rFonts w:hint="eastAsia" w:eastAsia="仿宋_GB2312"/>
          <w:sz w:val="32"/>
          <w:szCs w:val="32"/>
        </w:rPr>
        <w:t>5）与产品受益相比，综合评价产品风险可接受。</w:t>
      </w:r>
    </w:p>
    <w:p w14:paraId="3D572D97">
      <w:pPr>
        <w:spacing w:line="520" w:lineRule="exact"/>
        <w:ind w:firstLine="640" w:firstLineChars="200"/>
        <w:rPr>
          <w:rFonts w:eastAsia="仿宋_GB2312"/>
          <w:sz w:val="32"/>
          <w:szCs w:val="32"/>
        </w:rPr>
      </w:pPr>
      <w:r>
        <w:rPr>
          <w:rFonts w:hint="eastAsia" w:eastAsia="仿宋_GB2312"/>
          <w:sz w:val="32"/>
          <w:szCs w:val="32"/>
        </w:rPr>
        <w:t>1.1产品的主要危险示例</w:t>
      </w:r>
    </w:p>
    <w:p w14:paraId="547CC2AF">
      <w:pPr>
        <w:spacing w:line="520" w:lineRule="exact"/>
        <w:ind w:firstLine="640" w:firstLineChars="200"/>
        <w:rPr>
          <w:rFonts w:eastAsia="仿宋_GB2312"/>
          <w:sz w:val="32"/>
          <w:szCs w:val="32"/>
        </w:rPr>
      </w:pPr>
      <w:r>
        <w:rPr>
          <w:rFonts w:hint="eastAsia" w:eastAsia="仿宋_GB2312"/>
          <w:sz w:val="32"/>
          <w:szCs w:val="32"/>
        </w:rPr>
        <w:t>弱视治疗设备的主要危险大致可包括五个方面，即：能量危险、生物学和化学危险、操作危险、信息危险、软件危险。</w:t>
      </w:r>
      <w:r>
        <w:rPr>
          <w:rFonts w:eastAsia="仿宋_GB2312"/>
          <w:sz w:val="32"/>
          <w:szCs w:val="32"/>
        </w:rPr>
        <w:t>由于</w:t>
      </w:r>
      <w:r>
        <w:rPr>
          <w:rFonts w:hint="eastAsia" w:eastAsia="仿宋_GB2312"/>
          <w:sz w:val="32"/>
          <w:szCs w:val="32"/>
        </w:rPr>
        <w:t>弱视治疗设备</w:t>
      </w:r>
      <w:r>
        <w:rPr>
          <w:rFonts w:eastAsia="仿宋_GB2312"/>
          <w:sz w:val="32"/>
          <w:szCs w:val="32"/>
        </w:rPr>
        <w:t>功能和结构的差异，本章给出的</w:t>
      </w:r>
      <w:r>
        <w:rPr>
          <w:rFonts w:hint="eastAsia" w:eastAsia="仿宋_GB2312"/>
          <w:sz w:val="32"/>
          <w:szCs w:val="32"/>
        </w:rPr>
        <w:t>主要</w:t>
      </w:r>
      <w:r>
        <w:rPr>
          <w:rFonts w:eastAsia="仿宋_GB2312"/>
          <w:sz w:val="32"/>
          <w:szCs w:val="32"/>
        </w:rPr>
        <w:t>风险及其示例是常见的而不是全部的。</w:t>
      </w:r>
    </w:p>
    <w:p w14:paraId="5145A2B1">
      <w:pPr>
        <w:spacing w:line="520" w:lineRule="exact"/>
        <w:ind w:firstLine="640" w:firstLineChars="200"/>
        <w:rPr>
          <w:rFonts w:eastAsia="仿宋_GB2312"/>
          <w:sz w:val="32"/>
          <w:szCs w:val="32"/>
        </w:rPr>
      </w:pPr>
      <w:r>
        <w:rPr>
          <w:rFonts w:hint="eastAsia" w:eastAsia="仿宋_GB2312"/>
          <w:sz w:val="32"/>
          <w:szCs w:val="32"/>
        </w:rPr>
        <w:t>1.1.1能量危险</w:t>
      </w:r>
    </w:p>
    <w:p w14:paraId="777F4873">
      <w:pPr>
        <w:spacing w:line="520" w:lineRule="exact"/>
        <w:ind w:firstLine="640" w:firstLineChars="200"/>
        <w:rPr>
          <w:rFonts w:eastAsia="仿宋_GB2312"/>
          <w:sz w:val="32"/>
          <w:szCs w:val="32"/>
        </w:rPr>
      </w:pPr>
      <w:r>
        <w:rPr>
          <w:rFonts w:hint="eastAsia" w:eastAsia="仿宋_GB2312"/>
          <w:sz w:val="32"/>
          <w:szCs w:val="32"/>
        </w:rPr>
        <w:t>电磁能：漏电流对使用者造成电击伤；静电放电对申报产品产生的干扰；电介质强度不符合要求，造成使用者或患者的电击伤害；可能共同使用的强电磁医疗设备对申报产品的电磁干扰；以及设备正常工作中产生的电磁场对可能共同使用的其他设备的影响等引发的危险。</w:t>
      </w:r>
      <w:r>
        <w:rPr>
          <w:rFonts w:hint="eastAsia" w:eastAsia="仿宋_GB2312"/>
          <w:sz w:val="32"/>
          <w:szCs w:val="32"/>
        </w:rPr>
        <w:tab/>
      </w:r>
    </w:p>
    <w:p w14:paraId="690B500C">
      <w:pPr>
        <w:spacing w:line="520" w:lineRule="exact"/>
        <w:ind w:firstLine="640" w:firstLineChars="200"/>
        <w:rPr>
          <w:rFonts w:eastAsia="仿宋_GB2312"/>
          <w:sz w:val="32"/>
          <w:szCs w:val="32"/>
        </w:rPr>
      </w:pPr>
      <w:r>
        <w:rPr>
          <w:rFonts w:hint="eastAsia" w:eastAsia="仿宋_GB2312"/>
          <w:sz w:val="32"/>
          <w:szCs w:val="32"/>
        </w:rPr>
        <w:t>机械能：设备机械部件松动、定位不准确，导致设备设备无法正常使用。</w:t>
      </w:r>
    </w:p>
    <w:p w14:paraId="720AC854">
      <w:pPr>
        <w:spacing w:line="520" w:lineRule="exact"/>
        <w:ind w:firstLine="640" w:firstLineChars="200"/>
        <w:rPr>
          <w:rFonts w:eastAsia="仿宋_GB2312"/>
          <w:sz w:val="32"/>
          <w:szCs w:val="32"/>
        </w:rPr>
      </w:pPr>
      <w:r>
        <w:rPr>
          <w:rFonts w:hint="eastAsia" w:eastAsia="仿宋_GB2312"/>
          <w:sz w:val="32"/>
          <w:szCs w:val="32"/>
        </w:rPr>
        <w:t>运动零件：部件运动过程中触碰导致机械部件复位故障，导致设备设备无法正常使用。运动部件限位或防护功能失效，导致设备无法正常使用或故障。</w:t>
      </w:r>
    </w:p>
    <w:p w14:paraId="22B434E8">
      <w:pPr>
        <w:spacing w:line="520" w:lineRule="exact"/>
        <w:ind w:firstLine="640" w:firstLineChars="200"/>
        <w:rPr>
          <w:rFonts w:eastAsia="仿宋_GB2312"/>
          <w:sz w:val="32"/>
          <w:szCs w:val="32"/>
        </w:rPr>
      </w:pPr>
      <w:r>
        <w:rPr>
          <w:rFonts w:hint="eastAsia" w:eastAsia="仿宋_GB2312"/>
          <w:sz w:val="32"/>
          <w:szCs w:val="32"/>
        </w:rPr>
        <w:t>热能危害：仪器工作过程中，会产生热能，如果电路老化、使用时间过长、防护不当，使热能聚集，可能对操作者造成热能伤害。</w:t>
      </w:r>
    </w:p>
    <w:p w14:paraId="765E5B74">
      <w:pPr>
        <w:spacing w:line="520" w:lineRule="exact"/>
        <w:ind w:firstLine="640" w:firstLineChars="200"/>
        <w:rPr>
          <w:rFonts w:eastAsia="仿宋_GB2312"/>
          <w:sz w:val="32"/>
          <w:szCs w:val="32"/>
        </w:rPr>
      </w:pPr>
      <w:r>
        <w:rPr>
          <w:rFonts w:hint="eastAsia" w:eastAsia="仿宋_GB2312"/>
          <w:sz w:val="32"/>
          <w:szCs w:val="32"/>
        </w:rPr>
        <w:t>1.1.2生物学和化学危险</w:t>
      </w:r>
    </w:p>
    <w:p w14:paraId="1CE773AB">
      <w:pPr>
        <w:spacing w:line="520" w:lineRule="exact"/>
        <w:ind w:firstLine="640" w:firstLineChars="200"/>
        <w:rPr>
          <w:rFonts w:eastAsia="仿宋_GB2312"/>
          <w:sz w:val="32"/>
          <w:szCs w:val="32"/>
        </w:rPr>
      </w:pPr>
      <w:r>
        <w:rPr>
          <w:rFonts w:hint="eastAsia" w:eastAsia="仿宋_GB2312"/>
          <w:sz w:val="32"/>
          <w:szCs w:val="32"/>
        </w:rPr>
        <w:t>生物学：病人共用，消毒不彻底导致感染；与患者接触的材料造成人体过敏；与人体接触部分材料不符合生物学要求，造成人体伤害。</w:t>
      </w:r>
    </w:p>
    <w:p w14:paraId="764D2AC7">
      <w:pPr>
        <w:spacing w:line="520" w:lineRule="exact"/>
        <w:ind w:firstLine="640" w:firstLineChars="200"/>
        <w:rPr>
          <w:rFonts w:eastAsia="仿宋_GB2312"/>
          <w:sz w:val="32"/>
          <w:szCs w:val="32"/>
        </w:rPr>
      </w:pPr>
      <w:r>
        <w:rPr>
          <w:rFonts w:hint="eastAsia" w:eastAsia="仿宋_GB2312"/>
          <w:sz w:val="32"/>
          <w:szCs w:val="32"/>
        </w:rPr>
        <w:t>化学：使用的清洁剂、消毒剂残留引发的危险。</w:t>
      </w:r>
    </w:p>
    <w:p w14:paraId="096F1553">
      <w:pPr>
        <w:spacing w:line="520" w:lineRule="exact"/>
        <w:ind w:firstLine="640" w:firstLineChars="200"/>
        <w:rPr>
          <w:rFonts w:eastAsia="仿宋_GB2312"/>
          <w:sz w:val="32"/>
          <w:szCs w:val="32"/>
        </w:rPr>
      </w:pPr>
      <w:r>
        <w:rPr>
          <w:rFonts w:hint="eastAsia" w:eastAsia="仿宋_GB2312"/>
          <w:sz w:val="32"/>
          <w:szCs w:val="32"/>
        </w:rPr>
        <w:t>1.1.3操作危险</w:t>
      </w:r>
    </w:p>
    <w:p w14:paraId="0591BC8A">
      <w:pPr>
        <w:spacing w:line="520" w:lineRule="exact"/>
        <w:ind w:firstLine="640" w:firstLineChars="200"/>
        <w:rPr>
          <w:rFonts w:eastAsia="仿宋_GB2312"/>
          <w:sz w:val="32"/>
          <w:szCs w:val="32"/>
        </w:rPr>
      </w:pPr>
      <w:r>
        <w:rPr>
          <w:rFonts w:hint="eastAsia" w:eastAsia="仿宋_GB2312"/>
          <w:sz w:val="32"/>
          <w:szCs w:val="32"/>
        </w:rPr>
        <w:t>由不熟练/未经训练的人员使用，未对使用者进行培训或者使用者未按说明书中的要求进行操作，造成的设备无法使用或无法达到训练效果。</w:t>
      </w:r>
    </w:p>
    <w:p w14:paraId="42FAB421">
      <w:pPr>
        <w:spacing w:line="520" w:lineRule="exact"/>
        <w:ind w:firstLine="640" w:firstLineChars="200"/>
        <w:rPr>
          <w:rFonts w:eastAsia="仿宋_GB2312"/>
          <w:sz w:val="32"/>
          <w:szCs w:val="32"/>
        </w:rPr>
      </w:pPr>
      <w:r>
        <w:rPr>
          <w:rFonts w:hint="eastAsia" w:eastAsia="仿宋_GB2312"/>
          <w:sz w:val="32"/>
          <w:szCs w:val="32"/>
        </w:rPr>
        <w:t>产品超过使用寿命仍继续使用或长时间未经确认，无法达到训练效果。</w:t>
      </w:r>
    </w:p>
    <w:p w14:paraId="26DD2018">
      <w:pPr>
        <w:spacing w:line="520" w:lineRule="exact"/>
        <w:ind w:firstLine="640" w:firstLineChars="200"/>
        <w:rPr>
          <w:rFonts w:eastAsia="仿宋_GB2312"/>
          <w:sz w:val="32"/>
          <w:szCs w:val="32"/>
        </w:rPr>
      </w:pPr>
      <w:r>
        <w:rPr>
          <w:rFonts w:hint="eastAsia" w:eastAsia="仿宋_GB2312"/>
          <w:sz w:val="32"/>
          <w:szCs w:val="32"/>
        </w:rPr>
        <w:t>未在制造商规定的使用环境条件下使用产品，可能造成的设备无法使用或产品寿命降低。</w:t>
      </w:r>
    </w:p>
    <w:p w14:paraId="0C2504D9">
      <w:pPr>
        <w:spacing w:line="520" w:lineRule="exact"/>
        <w:ind w:firstLine="640" w:firstLineChars="200"/>
        <w:rPr>
          <w:rFonts w:eastAsia="仿宋_GB2312"/>
          <w:sz w:val="32"/>
          <w:szCs w:val="32"/>
        </w:rPr>
      </w:pPr>
      <w:r>
        <w:rPr>
          <w:rFonts w:hint="eastAsia" w:eastAsia="仿宋_GB2312"/>
          <w:sz w:val="32"/>
          <w:szCs w:val="32"/>
        </w:rPr>
        <w:t>未按产品说明书的规定对申报产品进行保养、维护，造成设备无法使用。</w:t>
      </w:r>
    </w:p>
    <w:p w14:paraId="0337C14B">
      <w:pPr>
        <w:spacing w:line="520" w:lineRule="exact"/>
        <w:ind w:firstLine="640" w:firstLineChars="200"/>
        <w:rPr>
          <w:rFonts w:eastAsia="仿宋_GB2312"/>
          <w:sz w:val="32"/>
          <w:szCs w:val="32"/>
        </w:rPr>
      </w:pPr>
      <w:r>
        <w:rPr>
          <w:rFonts w:hint="eastAsia" w:eastAsia="仿宋_GB2312"/>
          <w:sz w:val="32"/>
          <w:szCs w:val="32"/>
        </w:rPr>
        <w:t>1.1.4信息危险</w:t>
      </w:r>
    </w:p>
    <w:p w14:paraId="0CFF002A">
      <w:pPr>
        <w:spacing w:line="520" w:lineRule="exact"/>
        <w:ind w:firstLine="640" w:firstLineChars="200"/>
        <w:rPr>
          <w:rFonts w:eastAsia="仿宋_GB2312"/>
          <w:sz w:val="32"/>
          <w:szCs w:val="32"/>
        </w:rPr>
      </w:pPr>
      <w:r>
        <w:rPr>
          <w:rFonts w:hint="eastAsia" w:eastAsia="仿宋_GB2312"/>
          <w:sz w:val="32"/>
          <w:szCs w:val="32"/>
        </w:rPr>
        <w:t>标记缺少或不正确，标记的位置不正确，不能被正确的识别，不能永久贴牢和清晰可辨，不能耐受温度、摩擦及正常使用时可能遇到的溶剂和试剂的影响。</w:t>
      </w:r>
    </w:p>
    <w:p w14:paraId="2DB5FB4A">
      <w:pPr>
        <w:spacing w:line="520" w:lineRule="exact"/>
        <w:ind w:firstLine="640" w:firstLineChars="200"/>
        <w:rPr>
          <w:rFonts w:eastAsia="仿宋_GB2312"/>
          <w:sz w:val="32"/>
          <w:szCs w:val="32"/>
        </w:rPr>
      </w:pPr>
      <w:r>
        <w:rPr>
          <w:rFonts w:hint="eastAsia" w:eastAsia="仿宋_GB2312"/>
          <w:sz w:val="32"/>
          <w:szCs w:val="32"/>
        </w:rPr>
        <w:t>不符合法规及标准规定的产品说明书，包括产品说明书中未对限制充分告知，未对不正确的操作、与其他设备共同使用时易产生的危险进行警告，未正确标示包装储运条件、消毒方法、维护信息、对所有标识警告符号的阐述，未对因长期使用产生功能丧失而可能引发的危险进行警告，未对合理可预见的误用进行警告等引发的危险。</w:t>
      </w:r>
    </w:p>
    <w:p w14:paraId="397620E9">
      <w:pPr>
        <w:spacing w:line="520" w:lineRule="exact"/>
        <w:ind w:firstLine="640" w:firstLineChars="200"/>
        <w:rPr>
          <w:rFonts w:eastAsia="仿宋_GB2312"/>
          <w:sz w:val="32"/>
          <w:szCs w:val="32"/>
        </w:rPr>
      </w:pPr>
      <w:r>
        <w:rPr>
          <w:rFonts w:hint="eastAsia" w:eastAsia="仿宋_GB2312"/>
          <w:sz w:val="32"/>
          <w:szCs w:val="32"/>
        </w:rPr>
        <w:t>1.1.5软件危险</w:t>
      </w:r>
    </w:p>
    <w:p w14:paraId="03D96FD7">
      <w:pPr>
        <w:spacing w:line="520" w:lineRule="exact"/>
        <w:ind w:firstLine="640" w:firstLineChars="200"/>
        <w:rPr>
          <w:rFonts w:eastAsia="仿宋_GB2312"/>
          <w:sz w:val="32"/>
          <w:szCs w:val="32"/>
        </w:rPr>
      </w:pPr>
      <w:r>
        <w:rPr>
          <w:rFonts w:hint="eastAsia" w:eastAsia="仿宋_GB2312"/>
          <w:sz w:val="32"/>
          <w:szCs w:val="32"/>
        </w:rPr>
        <w:t>网络安全危险，数据交换时医疗器械相关数据未设计授权访问、修改、删除，无法保证数据的保密性、完整性和可得性。</w:t>
      </w:r>
    </w:p>
    <w:p w14:paraId="47A4372A">
      <w:pPr>
        <w:spacing w:line="520" w:lineRule="exact"/>
        <w:ind w:firstLine="640" w:firstLineChars="200"/>
        <w:rPr>
          <w:rFonts w:eastAsia="仿宋_GB2312"/>
          <w:sz w:val="32"/>
          <w:szCs w:val="32"/>
        </w:rPr>
      </w:pPr>
      <w:r>
        <w:rPr>
          <w:rFonts w:hint="eastAsia" w:eastAsia="仿宋_GB2312"/>
          <w:sz w:val="32"/>
          <w:szCs w:val="32"/>
        </w:rPr>
        <w:t>软件出现运行故障、运行环境的不匹配，造成临床功能的丧失，导致设备无法正常使用。</w:t>
      </w:r>
    </w:p>
    <w:p w14:paraId="01E5189C">
      <w:pPr>
        <w:spacing w:line="520" w:lineRule="exact"/>
        <w:ind w:firstLine="640" w:firstLineChars="200"/>
        <w:rPr>
          <w:rFonts w:eastAsia="仿宋_GB2312"/>
          <w:sz w:val="32"/>
          <w:szCs w:val="32"/>
        </w:rPr>
      </w:pPr>
      <w:r>
        <w:rPr>
          <w:rFonts w:hint="eastAsia" w:eastAsia="仿宋_GB2312"/>
          <w:sz w:val="32"/>
          <w:szCs w:val="32"/>
        </w:rPr>
        <w:t>2.医疗器械安全和性能基本原则清单</w:t>
      </w:r>
    </w:p>
    <w:p w14:paraId="4CEDBDB0">
      <w:pPr>
        <w:spacing w:line="520" w:lineRule="exact"/>
        <w:ind w:firstLine="640" w:firstLineChars="200"/>
        <w:rPr>
          <w:rFonts w:eastAsia="仿宋_GB2312"/>
          <w:sz w:val="32"/>
          <w:szCs w:val="32"/>
        </w:rPr>
      </w:pPr>
      <w:r>
        <w:rPr>
          <w:rFonts w:hint="eastAsia" w:eastAsia="仿宋_GB2312"/>
          <w:sz w:val="32"/>
          <w:szCs w:val="32"/>
        </w:rPr>
        <w:t>应按照《医疗器械注册申报资料要求及说明》以及《医疗器械安全和性能基本原则符合性技术指南》的要求提交《医疗器械安全和性能基本原则清单》，说明产品符合《医疗器械安全和性能基本原则清单》各项适用要求所采用的方法，以及证明其符合性的文件。对于《医疗器械安全和性能基本原则清单》中不适用的各项要求，需说明理由。</w:t>
      </w:r>
    </w:p>
    <w:p w14:paraId="5792D870">
      <w:pPr>
        <w:spacing w:line="520" w:lineRule="exact"/>
        <w:ind w:firstLine="640" w:firstLineChars="200"/>
        <w:rPr>
          <w:rFonts w:eastAsia="仿宋_GB2312"/>
          <w:sz w:val="32"/>
          <w:szCs w:val="32"/>
        </w:rPr>
      </w:pPr>
      <w:r>
        <w:rPr>
          <w:rFonts w:hint="eastAsia" w:eastAsia="仿宋_GB2312"/>
          <w:sz w:val="32"/>
          <w:szCs w:val="32"/>
        </w:rPr>
        <w:t>对于包含在产品注册申报资料中的文件，应当说明其在申报资料中的具体位置；对于未包含在产品注册申报资料中的文件，应当注明该证据文件名称及其在质量管理体系文件中的编号备查。</w:t>
      </w:r>
    </w:p>
    <w:p w14:paraId="378626D1">
      <w:pPr>
        <w:spacing w:line="520" w:lineRule="exact"/>
        <w:ind w:firstLine="640" w:firstLineChars="200"/>
        <w:rPr>
          <w:rFonts w:eastAsia="仿宋_GB2312"/>
          <w:sz w:val="32"/>
          <w:szCs w:val="32"/>
        </w:rPr>
      </w:pPr>
      <w:r>
        <w:rPr>
          <w:rFonts w:hint="eastAsia" w:eastAsia="仿宋_GB2312"/>
          <w:sz w:val="32"/>
          <w:szCs w:val="32"/>
        </w:rPr>
        <w:t>3.产品技术要求及检验报告</w:t>
      </w:r>
    </w:p>
    <w:p w14:paraId="308BE982">
      <w:pPr>
        <w:spacing w:line="520" w:lineRule="exact"/>
        <w:ind w:firstLine="640" w:firstLineChars="200"/>
        <w:rPr>
          <w:rFonts w:eastAsia="仿宋_GB2312"/>
          <w:sz w:val="32"/>
          <w:szCs w:val="32"/>
        </w:rPr>
      </w:pPr>
      <w:r>
        <w:rPr>
          <w:rFonts w:eastAsia="仿宋_GB2312"/>
          <w:sz w:val="32"/>
          <w:szCs w:val="32"/>
        </w:rPr>
        <w:t>3.1申报产品适用标准情况</w:t>
      </w:r>
    </w:p>
    <w:p w14:paraId="2894D1A4">
      <w:pPr>
        <w:spacing w:line="520" w:lineRule="exact"/>
        <w:ind w:firstLine="640" w:firstLineChars="200"/>
        <w:rPr>
          <w:rFonts w:eastAsia="仿宋_GB2312"/>
          <w:sz w:val="32"/>
          <w:szCs w:val="32"/>
        </w:rPr>
      </w:pPr>
      <w:r>
        <w:rPr>
          <w:rFonts w:eastAsia="仿宋_GB2312"/>
          <w:sz w:val="32"/>
          <w:szCs w:val="32"/>
        </w:rPr>
        <w:t>申报产品应当符合适用的强制性标准。对于强制性行业标准，若申报产品结构特征、预期用途、使用方式等与强制性标准的适用范围不一致，申请人应当提出不适用强制性标准的说明，并提供经验证的证明性资料。</w:t>
      </w:r>
    </w:p>
    <w:p w14:paraId="703B4AFB">
      <w:pPr>
        <w:spacing w:line="520" w:lineRule="exact"/>
        <w:ind w:firstLine="640" w:firstLineChars="200"/>
        <w:rPr>
          <w:rFonts w:eastAsia="仿宋_GB2312"/>
          <w:sz w:val="32"/>
          <w:szCs w:val="32"/>
        </w:rPr>
      </w:pPr>
      <w:r>
        <w:rPr>
          <w:rFonts w:eastAsia="仿宋_GB2312"/>
          <w:sz w:val="32"/>
          <w:szCs w:val="32"/>
        </w:rPr>
        <w:t>3</w:t>
      </w:r>
      <w:r>
        <w:rPr>
          <w:rFonts w:hint="eastAsia" w:eastAsia="仿宋_GB2312"/>
          <w:sz w:val="32"/>
          <w:szCs w:val="32"/>
        </w:rPr>
        <w:t>.</w:t>
      </w:r>
      <w:r>
        <w:rPr>
          <w:rFonts w:eastAsia="仿宋_GB2312"/>
          <w:sz w:val="32"/>
          <w:szCs w:val="32"/>
        </w:rPr>
        <w:t>2</w:t>
      </w:r>
      <w:r>
        <w:rPr>
          <w:rFonts w:hint="eastAsia" w:eastAsia="仿宋_GB2312"/>
          <w:sz w:val="32"/>
          <w:szCs w:val="32"/>
        </w:rPr>
        <w:t>产品技术要求</w:t>
      </w:r>
    </w:p>
    <w:p w14:paraId="2DB8672F">
      <w:pPr>
        <w:overflowPunct w:val="0"/>
        <w:autoSpaceDE w:val="0"/>
        <w:autoSpaceDN w:val="0"/>
        <w:spacing w:line="520" w:lineRule="exact"/>
        <w:ind w:firstLine="640" w:firstLineChars="200"/>
        <w:rPr>
          <w:rFonts w:eastAsia="仿宋_GB2312"/>
          <w:snapToGrid w:val="0"/>
          <w:kern w:val="0"/>
          <w:sz w:val="32"/>
          <w:szCs w:val="32"/>
        </w:rPr>
      </w:pPr>
      <w:r>
        <w:rPr>
          <w:rFonts w:hint="eastAsia" w:eastAsia="仿宋_GB2312"/>
          <w:sz w:val="32"/>
          <w:szCs w:val="32"/>
        </w:rPr>
        <w:t>申请人依据《医疗器械产品技术要求编写指导原则》的要求编写产品技术要求。</w:t>
      </w:r>
      <w:r>
        <w:rPr>
          <w:rFonts w:hint="eastAsia" w:eastAsia="仿宋_GB2312"/>
          <w:snapToGrid w:val="0"/>
          <w:kern w:val="0"/>
          <w:sz w:val="32"/>
          <w:szCs w:val="32"/>
        </w:rPr>
        <w:t>本条款给出需要考虑的产品主要技术指标，如有其他指标，注册申请人结合相应的标准和自身的技术能力，予以明确。如不采用以下条款，应当说明理由。</w:t>
      </w:r>
    </w:p>
    <w:p w14:paraId="165B5469">
      <w:pPr>
        <w:spacing w:line="520" w:lineRule="exact"/>
        <w:ind w:firstLine="640" w:firstLineChars="200"/>
        <w:rPr>
          <w:rFonts w:eastAsia="仿宋_GB2312"/>
          <w:sz w:val="32"/>
          <w:szCs w:val="32"/>
        </w:rPr>
      </w:pPr>
      <w:r>
        <w:rPr>
          <w:rFonts w:hint="eastAsia" w:eastAsia="仿宋_GB2312"/>
          <w:sz w:val="32"/>
          <w:szCs w:val="32"/>
        </w:rPr>
        <w:t>产品电气安全性能、电磁兼容、主要技术性能应当执行国家和行业的强制性标准；性能指标应当能满足产品的安全有效性。</w:t>
      </w:r>
    </w:p>
    <w:p w14:paraId="48C20DEB">
      <w:pPr>
        <w:spacing w:line="520" w:lineRule="exact"/>
        <w:ind w:firstLine="640" w:firstLineChars="200"/>
        <w:rPr>
          <w:rFonts w:eastAsia="仿宋_GB2312"/>
          <w:sz w:val="32"/>
          <w:szCs w:val="32"/>
        </w:rPr>
      </w:pPr>
      <w:r>
        <w:rPr>
          <w:rFonts w:hint="eastAsia" w:eastAsia="仿宋_GB2312"/>
          <w:sz w:val="32"/>
          <w:szCs w:val="32"/>
        </w:rPr>
        <w:t>医疗器械产品技术要求应采用规范、通用的术语，符合工程技术、临床医学等方面的专业标准及规范。对于标准中已经列明的术语原则上不应修改或另行制定，对于标准中未列明的术语应当在产品技术要求列明并释义。</w:t>
      </w:r>
    </w:p>
    <w:p w14:paraId="579CDF0A">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2.1</w:t>
      </w:r>
      <w:r>
        <w:rPr>
          <w:rFonts w:hint="eastAsia" w:eastAsia="仿宋_GB2312"/>
          <w:sz w:val="32"/>
          <w:szCs w:val="32"/>
        </w:rPr>
        <w:t>产品名称、产品型号/规格及其划分说明</w:t>
      </w:r>
    </w:p>
    <w:p w14:paraId="0DFA2CE1">
      <w:pPr>
        <w:overflowPunct w:val="0"/>
        <w:autoSpaceDE w:val="0"/>
        <w:autoSpaceDN w:val="0"/>
        <w:spacing w:line="520" w:lineRule="exact"/>
        <w:ind w:firstLine="640" w:firstLineChars="200"/>
        <w:rPr>
          <w:rFonts w:eastAsia="仿宋_GB2312"/>
          <w:sz w:val="32"/>
          <w:szCs w:val="32"/>
        </w:rPr>
      </w:pPr>
      <w:r>
        <w:rPr>
          <w:rFonts w:hint="eastAsia" w:eastAsia="仿宋_GB2312"/>
          <w:snapToGrid w:val="0"/>
          <w:kern w:val="0"/>
          <w:sz w:val="32"/>
          <w:szCs w:val="32"/>
        </w:rPr>
        <w:t>产品可按结构组成、技术参数、预期用途等划分为不同型号和规格。若产品有多个型号，应提供型号间的主要差异对比表。若含有软件，应</w:t>
      </w:r>
      <w:r>
        <w:rPr>
          <w:rFonts w:hint="eastAsia" w:eastAsia="仿宋_GB2312"/>
          <w:sz w:val="32"/>
          <w:szCs w:val="32"/>
        </w:rPr>
        <w:t>明确软件的名称、型号规格（若适用）、发布版本、版本命名规则，软件模块（含医用中间件）若有单独的版本、版本命名规则均需说明。</w:t>
      </w:r>
    </w:p>
    <w:p w14:paraId="41B60B01">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2.2</w:t>
      </w:r>
      <w:r>
        <w:rPr>
          <w:rFonts w:hint="eastAsia" w:eastAsia="仿宋_GB2312"/>
          <w:sz w:val="32"/>
          <w:szCs w:val="32"/>
        </w:rPr>
        <w:t>申请人可根据产品的工作原理、结构组成、工艺特点、技术参数等规定性能指标、检验方法的内容。具有光学观察系统的产品可参考YY 0674-2008《眼科仪器 验光头》、</w:t>
      </w:r>
      <w:r>
        <w:rPr>
          <w:rFonts w:eastAsia="仿宋_GB2312"/>
          <w:sz w:val="32"/>
          <w:szCs w:val="32"/>
        </w:rPr>
        <w:t>GB/T 20145</w:t>
      </w:r>
      <w:r>
        <w:rPr>
          <w:rFonts w:hint="eastAsia" w:eastAsia="仿宋_GB2312"/>
          <w:sz w:val="32"/>
          <w:szCs w:val="32"/>
        </w:rPr>
        <w:t>《灯和灯系统的光生物安全性》中的适用条款。若标准中有不适用条款，应在研究资料中进行说明。</w:t>
      </w:r>
    </w:p>
    <w:p w14:paraId="169E7DF0">
      <w:pPr>
        <w:spacing w:line="520" w:lineRule="exact"/>
        <w:ind w:firstLine="640" w:firstLineChars="200"/>
        <w:rPr>
          <w:rFonts w:eastAsia="仿宋_GB2312"/>
          <w:sz w:val="32"/>
          <w:szCs w:val="32"/>
        </w:rPr>
      </w:pPr>
      <w:r>
        <w:rPr>
          <w:rFonts w:hint="eastAsia" w:eastAsia="仿宋_GB2312"/>
          <w:sz w:val="32"/>
          <w:szCs w:val="32"/>
        </w:rPr>
        <w:t>弱视治疗设备</w:t>
      </w:r>
      <w:r>
        <w:rPr>
          <w:rFonts w:eastAsia="仿宋_GB2312"/>
          <w:sz w:val="32"/>
          <w:szCs w:val="32"/>
        </w:rPr>
        <w:t>软件功能及网络安全可根据产品的实际情况编写</w:t>
      </w:r>
      <w:r>
        <w:rPr>
          <w:rFonts w:hint="eastAsia" w:eastAsia="仿宋_GB2312"/>
          <w:sz w:val="32"/>
          <w:szCs w:val="32"/>
        </w:rPr>
        <w:t>。还应根据申报产品的工作原理明确产品的实际特征，如:</w:t>
      </w:r>
    </w:p>
    <w:p w14:paraId="50D8797D">
      <w:pPr>
        <w:spacing w:line="520" w:lineRule="exact"/>
        <w:ind w:firstLine="640" w:firstLineChars="200"/>
        <w:rPr>
          <w:rFonts w:eastAsia="仿宋_GB2312"/>
          <w:sz w:val="32"/>
          <w:szCs w:val="32"/>
        </w:rPr>
      </w:pPr>
      <w:r>
        <w:rPr>
          <w:rFonts w:hint="eastAsia" w:eastAsia="仿宋_GB2312"/>
          <w:sz w:val="32"/>
          <w:szCs w:val="32"/>
        </w:rPr>
        <w:t>(a)</w:t>
      </w:r>
      <w:r>
        <w:rPr>
          <w:rFonts w:eastAsia="仿宋_GB2312"/>
          <w:sz w:val="32"/>
          <w:szCs w:val="32"/>
        </w:rPr>
        <w:t>弱视增视训练，如：红色滤光片疗法或者红光闪烁刺激治疗、海丁格刷（光刷）、后像治疗、CAM训练（光栅训练）、精细目力训练；</w:t>
      </w:r>
    </w:p>
    <w:p w14:paraId="3E24FCF3">
      <w:pPr>
        <w:spacing w:line="520" w:lineRule="exact"/>
        <w:ind w:firstLine="640" w:firstLineChars="200"/>
        <w:rPr>
          <w:rFonts w:eastAsia="仿宋_GB2312"/>
          <w:sz w:val="32"/>
          <w:szCs w:val="32"/>
        </w:rPr>
      </w:pPr>
      <w:r>
        <w:rPr>
          <w:rFonts w:hint="eastAsia" w:eastAsia="仿宋_GB2312"/>
          <w:sz w:val="32"/>
          <w:szCs w:val="32"/>
        </w:rPr>
        <w:t>(b)</w:t>
      </w:r>
      <w:r>
        <w:rPr>
          <w:rFonts w:eastAsia="仿宋_GB2312"/>
          <w:sz w:val="32"/>
          <w:szCs w:val="32"/>
        </w:rPr>
        <w:t>视觉功能训练，如：调节训练、同时视觉训练（脱抑制训练）、聚散功能训练（融合训练）、立体视觉训练；</w:t>
      </w:r>
    </w:p>
    <w:p w14:paraId="355346BE">
      <w:pPr>
        <w:spacing w:line="520" w:lineRule="exact"/>
        <w:ind w:firstLine="640" w:firstLineChars="200"/>
        <w:rPr>
          <w:rFonts w:eastAsia="仿宋_GB2312"/>
          <w:sz w:val="32"/>
          <w:szCs w:val="32"/>
        </w:rPr>
      </w:pPr>
      <w:r>
        <w:rPr>
          <w:rFonts w:hint="eastAsia" w:eastAsia="仿宋_GB2312"/>
          <w:sz w:val="32"/>
          <w:szCs w:val="32"/>
        </w:rPr>
        <w:t>(c)眼球运动训练</w:t>
      </w:r>
      <w:r>
        <w:rPr>
          <w:rFonts w:eastAsia="仿宋_GB2312"/>
          <w:sz w:val="32"/>
          <w:szCs w:val="32"/>
        </w:rPr>
        <w:t>，如：注视训练、视觉追踪训练、视觉追踪训练、旋转注视。</w:t>
      </w:r>
    </w:p>
    <w:p w14:paraId="18D63254">
      <w:pPr>
        <w:pStyle w:val="2"/>
      </w:pPr>
      <w:r>
        <w:t>(</w:t>
      </w:r>
      <w:r>
        <w:rPr>
          <w:rFonts w:hint="eastAsia"/>
        </w:rPr>
        <w:t>d</w:t>
      </w:r>
      <w:r>
        <w:t>)</w:t>
      </w:r>
      <w:r>
        <w:rPr>
          <w:rFonts w:hint="eastAsia"/>
        </w:rPr>
        <w:t>其他：如瞳距调节、设备连接、音量设置、电量指示、操控交互等。</w:t>
      </w:r>
    </w:p>
    <w:p w14:paraId="611AFF5D">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2</w:t>
      </w:r>
      <w:r>
        <w:rPr>
          <w:rFonts w:hint="eastAsia" w:eastAsia="仿宋_GB2312"/>
          <w:sz w:val="32"/>
          <w:szCs w:val="32"/>
        </w:rPr>
        <w:t>.3软件功能部分</w:t>
      </w:r>
    </w:p>
    <w:p w14:paraId="63C378FC">
      <w:pPr>
        <w:spacing w:line="520" w:lineRule="exact"/>
        <w:ind w:firstLine="640" w:firstLineChars="200"/>
        <w:rPr>
          <w:rFonts w:eastAsia="仿宋_GB2312"/>
          <w:sz w:val="32"/>
          <w:szCs w:val="32"/>
        </w:rPr>
      </w:pPr>
      <w:r>
        <w:rPr>
          <w:rFonts w:hint="eastAsia" w:eastAsia="仿宋_GB2312"/>
          <w:sz w:val="32"/>
          <w:szCs w:val="32"/>
        </w:rPr>
        <w:t>应参照《医疗器械软件注册技术审查指导原则（2022年修订版）》、《医疗器械网络安全注册审查指导原则（2022年修订版）》（如适用）、《移动医疗器械注册技术审查指导原则》（如适用）的相关要求进行规定。</w:t>
      </w:r>
    </w:p>
    <w:p w14:paraId="5D055275">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2.4</w:t>
      </w:r>
      <w:r>
        <w:rPr>
          <w:rFonts w:hint="eastAsia" w:eastAsia="仿宋_GB2312"/>
          <w:sz w:val="32"/>
          <w:szCs w:val="32"/>
        </w:rPr>
        <w:t>电气安全</w:t>
      </w:r>
    </w:p>
    <w:p w14:paraId="30393676">
      <w:pPr>
        <w:spacing w:line="520" w:lineRule="exact"/>
        <w:ind w:firstLine="640" w:firstLineChars="200"/>
        <w:rPr>
          <w:rFonts w:eastAsia="仿宋_GB2312"/>
          <w:sz w:val="32"/>
          <w:szCs w:val="32"/>
        </w:rPr>
      </w:pPr>
      <w:r>
        <w:rPr>
          <w:rFonts w:hint="eastAsia" w:eastAsia="仿宋_GB2312"/>
          <w:sz w:val="32"/>
          <w:szCs w:val="32"/>
        </w:rPr>
        <w:t>应符合GB 9706.1</w:t>
      </w:r>
      <w:r>
        <w:rPr>
          <w:rFonts w:eastAsia="仿宋_GB2312"/>
          <w:sz w:val="32"/>
          <w:szCs w:val="32"/>
        </w:rPr>
        <w:t>-2020</w:t>
      </w:r>
      <w:r>
        <w:rPr>
          <w:rFonts w:hint="eastAsia" w:eastAsia="仿宋_GB2312"/>
          <w:sz w:val="32"/>
          <w:szCs w:val="32"/>
        </w:rPr>
        <w:t>《医用电气设备 第1部分：基本安全和基本性能的通用要求》。</w:t>
      </w:r>
      <w:bookmarkStart w:id="1" w:name="_Hlk178334671"/>
      <w:r>
        <w:rPr>
          <w:rFonts w:hint="eastAsia" w:eastAsia="仿宋_GB2312"/>
          <w:sz w:val="32"/>
          <w:szCs w:val="32"/>
        </w:rPr>
        <w:t>对于预期在家庭环境或其他非专业医疗环境下使用的设备</w:t>
      </w:r>
      <w:bookmarkEnd w:id="1"/>
      <w:r>
        <w:rPr>
          <w:rFonts w:hint="eastAsia" w:eastAsia="仿宋_GB2312"/>
          <w:sz w:val="32"/>
          <w:szCs w:val="32"/>
        </w:rPr>
        <w:t>，应符合YY 9706.111标准的要求。</w:t>
      </w:r>
    </w:p>
    <w:p w14:paraId="1DEB0C2F">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2.5</w:t>
      </w:r>
      <w:r>
        <w:rPr>
          <w:rFonts w:hint="eastAsia" w:eastAsia="仿宋_GB2312"/>
          <w:sz w:val="32"/>
          <w:szCs w:val="32"/>
        </w:rPr>
        <w:t>电磁兼容性</w:t>
      </w:r>
    </w:p>
    <w:p w14:paraId="5D3F2D35">
      <w:pPr>
        <w:spacing w:line="520" w:lineRule="exact"/>
        <w:ind w:firstLine="640" w:firstLineChars="200"/>
        <w:rPr>
          <w:rFonts w:eastAsia="仿宋_GB2312"/>
          <w:sz w:val="32"/>
          <w:szCs w:val="32"/>
        </w:rPr>
      </w:pPr>
      <w:r>
        <w:rPr>
          <w:rFonts w:hint="eastAsia" w:eastAsia="仿宋_GB2312"/>
          <w:sz w:val="32"/>
          <w:szCs w:val="32"/>
        </w:rPr>
        <w:t>应符合YY9706.102</w:t>
      </w:r>
      <w:r>
        <w:rPr>
          <w:rFonts w:eastAsia="仿宋_GB2312"/>
          <w:sz w:val="32"/>
          <w:szCs w:val="32"/>
        </w:rPr>
        <w:t>-2021</w:t>
      </w:r>
      <w:r>
        <w:rPr>
          <w:rFonts w:hint="eastAsia" w:eastAsia="仿宋_GB2312"/>
          <w:sz w:val="32"/>
          <w:szCs w:val="32"/>
        </w:rPr>
        <w:t>《医用电气设备 第1-2部分：基本安全和基本性能的通用要求 并列标准：电磁兼容 要求和试验》。</w:t>
      </w:r>
    </w:p>
    <w:p w14:paraId="5BB624B1">
      <w:pPr>
        <w:spacing w:line="520" w:lineRule="exact"/>
        <w:ind w:firstLine="640" w:firstLineChars="200"/>
        <w:rPr>
          <w:rFonts w:eastAsia="仿宋_GB2312"/>
          <w:sz w:val="32"/>
          <w:szCs w:val="32"/>
        </w:rPr>
      </w:pPr>
      <w:r>
        <w:rPr>
          <w:rFonts w:eastAsia="仿宋_GB2312"/>
          <w:sz w:val="32"/>
          <w:szCs w:val="32"/>
        </w:rPr>
        <w:t>3.3</w:t>
      </w:r>
      <w:r>
        <w:rPr>
          <w:rFonts w:hint="eastAsia" w:eastAsia="仿宋_GB2312"/>
          <w:sz w:val="32"/>
          <w:szCs w:val="32"/>
        </w:rPr>
        <w:t>产品检验报告</w:t>
      </w:r>
    </w:p>
    <w:p w14:paraId="75AA7D5A">
      <w:pPr>
        <w:spacing w:line="520" w:lineRule="exact"/>
        <w:ind w:firstLine="640" w:firstLineChars="200"/>
        <w:rPr>
          <w:rFonts w:eastAsia="仿宋_GB2312"/>
          <w:sz w:val="32"/>
          <w:szCs w:val="32"/>
        </w:rPr>
      </w:pPr>
      <w:r>
        <w:rPr>
          <w:rFonts w:hint="eastAsia" w:eastAsia="仿宋_GB2312"/>
          <w:sz w:val="32"/>
          <w:szCs w:val="32"/>
        </w:rPr>
        <w:t>注册申请人应提供产品检验报告，检验报告可以是申请人出具的自检报告，也可以是委托有资质的医疗器械检验机构出具的检验报告。如提交自检报告，应符合《医疗器械注册自检管理规定》相关要求。对于委托检测的，应提供检测机构的相应资质。</w:t>
      </w:r>
    </w:p>
    <w:p w14:paraId="2897EAD8">
      <w:pPr>
        <w:spacing w:line="520" w:lineRule="exact"/>
        <w:ind w:firstLine="640" w:firstLineChars="200"/>
        <w:rPr>
          <w:rFonts w:eastAsia="仿宋_GB2312"/>
          <w:sz w:val="32"/>
          <w:szCs w:val="32"/>
        </w:rPr>
      </w:pPr>
      <w:r>
        <w:rPr>
          <w:rFonts w:hint="eastAsia" w:eastAsia="仿宋_GB2312"/>
          <w:sz w:val="32"/>
          <w:szCs w:val="32"/>
        </w:rPr>
        <w:t>同一注册单元内所检验的产品应当是能够代表本注册单元内其他产品安全性和有效性的典型产品。若申报的产品包括多个型号规格，在电气安全（含电磁兼容）的检验中，原则上选取结构最复杂、功能最多、风险最高的型号规格进行检验。型号覆盖应按照最不利的原则确定，不能覆盖的差异性应分别进行检测。当没有充足证据能够证明同一注册单元内不同型号规格产品之间性能、电磁兼容性、电气安全性能可以覆盖时，应选取多个型号规格进行检测。</w:t>
      </w:r>
    </w:p>
    <w:p w14:paraId="671931C4">
      <w:pPr>
        <w:spacing w:line="520" w:lineRule="exact"/>
        <w:ind w:firstLine="640" w:firstLineChars="200"/>
        <w:rPr>
          <w:rFonts w:eastAsia="仿宋_GB2312"/>
          <w:sz w:val="32"/>
          <w:szCs w:val="32"/>
        </w:rPr>
      </w:pPr>
      <w:r>
        <w:rPr>
          <w:rFonts w:hint="eastAsia" w:eastAsia="仿宋_GB2312"/>
          <w:sz w:val="32"/>
          <w:szCs w:val="32"/>
        </w:rPr>
        <w:t>对于典型检测型号产品的选择，申请人应当提供典型型号说明予以证明。</w:t>
      </w:r>
    </w:p>
    <w:p w14:paraId="4C97091D">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.研究资料</w:t>
      </w:r>
    </w:p>
    <w:p w14:paraId="5945805D">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.1产品性能研究</w:t>
      </w:r>
    </w:p>
    <w:p w14:paraId="5A5A6007">
      <w:pPr>
        <w:spacing w:line="520" w:lineRule="exact"/>
        <w:ind w:firstLine="640" w:firstLineChars="200"/>
        <w:rPr>
          <w:rFonts w:eastAsia="仿宋_GB2312"/>
          <w:sz w:val="32"/>
          <w:szCs w:val="32"/>
        </w:rPr>
      </w:pPr>
      <w:r>
        <w:rPr>
          <w:rFonts w:hint="eastAsia" w:eastAsia="仿宋_GB2312"/>
          <w:sz w:val="32"/>
          <w:szCs w:val="32"/>
        </w:rPr>
        <w:t>应提供性能指标及试验方法的制定依据。应符合的国家标准、行业标准，给出其中性能指标不适用项说明。应提供产品技术要求中条款的注册申请人检验方法的制定依据。必要时提供文献等。</w:t>
      </w:r>
    </w:p>
    <w:p w14:paraId="5822CA21">
      <w:pPr>
        <w:spacing w:line="520" w:lineRule="exact"/>
        <w:ind w:firstLine="640" w:firstLineChars="200"/>
        <w:rPr>
          <w:rFonts w:eastAsia="仿宋_GB2312"/>
          <w:sz w:val="32"/>
          <w:szCs w:val="32"/>
        </w:rPr>
      </w:pPr>
      <w:r>
        <w:rPr>
          <w:rFonts w:hint="eastAsia" w:eastAsia="仿宋_GB2312"/>
          <w:sz w:val="32"/>
          <w:szCs w:val="32"/>
        </w:rPr>
        <w:t>申请人可以根据申报产品特征进行分析，确定引用标准，不包括根据产品的特点所引用的一些行业外标准或其他标准。标准如有新版发布实施，应执行最新版本。</w:t>
      </w:r>
    </w:p>
    <w:p w14:paraId="49B128CF">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2</w:t>
      </w:r>
      <w:r>
        <w:rPr>
          <w:rFonts w:hint="eastAsia" w:eastAsia="仿宋_GB2312"/>
          <w:sz w:val="32"/>
          <w:szCs w:val="32"/>
        </w:rPr>
        <w:t>软件及网络安全研究</w:t>
      </w:r>
    </w:p>
    <w:p w14:paraId="2C77585B">
      <w:pPr>
        <w:spacing w:line="520" w:lineRule="exact"/>
        <w:ind w:firstLine="640" w:firstLineChars="200"/>
        <w:rPr>
          <w:rFonts w:eastAsia="仿宋_GB2312"/>
          <w:sz w:val="32"/>
          <w:szCs w:val="32"/>
        </w:rPr>
      </w:pPr>
      <w:r>
        <w:rPr>
          <w:rFonts w:hint="eastAsia" w:eastAsia="仿宋_GB2312"/>
          <w:sz w:val="32"/>
          <w:szCs w:val="32"/>
        </w:rPr>
        <w:t>该产品一般均含有软件，注册申请人应依据《医疗器械软件注册审查指导原则》的要求，提交自研软件研究报告、外部软件环境评估报告以及GB/T 25000.51自测报告（亦可提交自检报告或检验报告代替自测报告）。若使用现成软件组件，根据其使用方式提交相应研究资料，</w:t>
      </w:r>
      <w:r>
        <w:rPr>
          <w:rFonts w:eastAsia="仿宋_GB2312"/>
          <w:sz w:val="32"/>
          <w:szCs w:val="32"/>
        </w:rPr>
        <w:t>内容包括</w:t>
      </w:r>
      <w:r>
        <w:rPr>
          <w:rFonts w:hint="eastAsia" w:eastAsia="仿宋_GB2312"/>
          <w:sz w:val="32"/>
          <w:szCs w:val="32"/>
        </w:rPr>
        <w:t>基本信息、实现过程、核心功能、结论等内容，详尽程度取决于软件安全性级别，该类产品一般为中等。其中，基本信息包括软件标识、安全性级别、结构功能、物理拓扑、运行环境、注册历史，实现过程包括开发概况、风险管理、需求规范、生存周期、验证与确认、可追溯性分析、缺陷管理、更新历史，明确核心功能、核心算法、预期用途的对应关系。软件功能的验证与确认至少应体现适用范围中宣称的测量功能，且应当与其它申报资料保持一致。</w:t>
      </w:r>
    </w:p>
    <w:p w14:paraId="27F3BD9A">
      <w:pPr>
        <w:spacing w:line="520" w:lineRule="exact"/>
        <w:ind w:firstLine="640" w:firstLineChars="200"/>
        <w:rPr>
          <w:rFonts w:eastAsia="仿宋_GB2312"/>
          <w:sz w:val="32"/>
          <w:szCs w:val="32"/>
        </w:rPr>
      </w:pPr>
      <w:r>
        <w:rPr>
          <w:rFonts w:hint="eastAsia" w:eastAsia="仿宋_GB2312"/>
          <w:sz w:val="32"/>
          <w:szCs w:val="32"/>
        </w:rPr>
        <w:t>如产品具备电子数据交换、远程访问与控制、用户访问等功能，注册申请人应依据《医疗器械网络安全注册审查指导原则》的要求，在软件研究资料中单独提交自研软件网络安全研究报告。若使用现成软件组件，根据其使用方式提交相应研究资料</w:t>
      </w:r>
      <w:r>
        <w:rPr>
          <w:rFonts w:hint="eastAsia" w:eastAsia="仿宋_GB2312"/>
          <w:color w:val="FF0000"/>
          <w:sz w:val="32"/>
          <w:szCs w:val="32"/>
        </w:rPr>
        <w:t>，</w:t>
      </w:r>
      <w:r>
        <w:rPr>
          <w:rFonts w:hint="eastAsia" w:eastAsia="仿宋_GB2312"/>
          <w:sz w:val="32"/>
          <w:szCs w:val="32"/>
        </w:rPr>
        <w:t>基本信息包括软件信息、数据架构、网络安全能力、网络安全补丁、安全软件，实现过程包括风险管理、需求规范、验证与确认、可追溯性分析、更新维护计划，漏洞评估明确已知漏洞相关信息。</w:t>
      </w:r>
      <w:r>
        <w:rPr>
          <w:rFonts w:eastAsia="仿宋_GB2312"/>
          <w:sz w:val="32"/>
          <w:szCs w:val="32"/>
        </w:rPr>
        <w:t>应提交网络安全描述文档，并在产品技术要求中规定相应的性能指标。</w:t>
      </w:r>
    </w:p>
    <w:p w14:paraId="0B33C329">
      <w:pPr>
        <w:spacing w:line="520" w:lineRule="exact"/>
        <w:ind w:firstLine="640" w:firstLineChars="200"/>
        <w:rPr>
          <w:rFonts w:eastAsia="仿宋_GB2312"/>
          <w:sz w:val="32"/>
          <w:szCs w:val="32"/>
        </w:rPr>
      </w:pPr>
      <w:r>
        <w:rPr>
          <w:rFonts w:eastAsia="仿宋_GB2312"/>
          <w:sz w:val="32"/>
          <w:szCs w:val="32"/>
        </w:rPr>
        <w:t>产品若通过电子接口与其他医疗器械或非医疗器械交换并使用信息，应当提供互操作性研究资料，包括基本信息、需求规范、风险管理、验证与确认、维护计划等内容。</w:t>
      </w:r>
    </w:p>
    <w:p w14:paraId="5BD2A720">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3</w:t>
      </w:r>
      <w:r>
        <w:rPr>
          <w:rFonts w:hint="eastAsia" w:eastAsia="仿宋_GB2312"/>
          <w:sz w:val="32"/>
          <w:szCs w:val="32"/>
        </w:rPr>
        <w:t>生物相容性评价研究</w:t>
      </w:r>
    </w:p>
    <w:p w14:paraId="3B626F69">
      <w:pPr>
        <w:spacing w:line="520" w:lineRule="exact"/>
        <w:ind w:firstLine="640" w:firstLineChars="200"/>
        <w:rPr>
          <w:rFonts w:eastAsia="仿宋_GB2312"/>
          <w:sz w:val="32"/>
          <w:szCs w:val="32"/>
        </w:rPr>
      </w:pPr>
      <w:r>
        <w:rPr>
          <w:rFonts w:hint="eastAsia" w:eastAsia="仿宋_GB2312"/>
          <w:sz w:val="32"/>
          <w:szCs w:val="32"/>
        </w:rPr>
        <w:t>弱视治疗设备若直接接触患者，则需进行生物相容性评价。生物相容性评价研究资料应当包括：生物相容性评价的依据和方法，产品所用材料的描述及与人体接触的性质，实施或豁免生物学试验的理由和论证，对于现有数据或试验结果的评价，评价根据GB/T 16886.1《医疗器械生物学评价 第1部分：风险管理过程中的评价与试验》标准进行。</w:t>
      </w:r>
    </w:p>
    <w:p w14:paraId="1EEFB39D">
      <w:pPr>
        <w:spacing w:line="520" w:lineRule="exact"/>
        <w:ind w:firstLine="640" w:firstLineChars="200"/>
        <w:rPr>
          <w:rFonts w:eastAsia="仿宋_GB2312"/>
          <w:sz w:val="32"/>
          <w:szCs w:val="32"/>
        </w:rPr>
      </w:pPr>
      <w:r>
        <w:rPr>
          <w:rFonts w:eastAsia="仿宋_GB2312"/>
          <w:sz w:val="32"/>
          <w:szCs w:val="32"/>
        </w:rPr>
        <w:t>若使用者需佩戴手套操作</w:t>
      </w:r>
      <w:r>
        <w:rPr>
          <w:rFonts w:hint="eastAsia" w:eastAsia="仿宋_GB2312"/>
          <w:sz w:val="32"/>
          <w:szCs w:val="32"/>
        </w:rPr>
        <w:t>、</w:t>
      </w:r>
      <w:r>
        <w:rPr>
          <w:rFonts w:eastAsia="仿宋_GB2312"/>
          <w:sz w:val="32"/>
          <w:szCs w:val="32"/>
        </w:rPr>
        <w:t>配合颏托纸、</w:t>
      </w:r>
      <w:r>
        <w:rPr>
          <w:rFonts w:hint="eastAsia" w:eastAsia="仿宋_GB2312"/>
          <w:sz w:val="32"/>
          <w:szCs w:val="32"/>
        </w:rPr>
        <w:t>额</w:t>
      </w:r>
      <w:r>
        <w:rPr>
          <w:rFonts w:eastAsia="仿宋_GB2312"/>
          <w:sz w:val="32"/>
          <w:szCs w:val="32"/>
        </w:rPr>
        <w:t>托纸使用，不与患者直接接触，也可不进行生物相容性评价，但应在说明书中明确。</w:t>
      </w:r>
    </w:p>
    <w:p w14:paraId="4A58E17E">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w:t>
      </w:r>
      <w:r>
        <w:rPr>
          <w:rFonts w:eastAsia="仿宋_GB2312"/>
          <w:sz w:val="32"/>
          <w:szCs w:val="32"/>
        </w:rPr>
        <w:t>4</w:t>
      </w:r>
      <w:r>
        <w:rPr>
          <w:rFonts w:hint="eastAsia" w:eastAsia="仿宋_GB2312"/>
          <w:sz w:val="32"/>
          <w:szCs w:val="32"/>
        </w:rPr>
        <w:t>清洁、消毒研究</w:t>
      </w:r>
    </w:p>
    <w:p w14:paraId="4ECF6A27">
      <w:pPr>
        <w:spacing w:line="520" w:lineRule="exact"/>
        <w:ind w:firstLine="640" w:firstLineChars="200"/>
        <w:rPr>
          <w:rFonts w:eastAsia="仿宋_GB2312"/>
          <w:sz w:val="32"/>
          <w:szCs w:val="32"/>
        </w:rPr>
      </w:pPr>
      <w:r>
        <w:rPr>
          <w:rFonts w:hint="eastAsia" w:eastAsia="仿宋_GB2312"/>
          <w:sz w:val="32"/>
          <w:szCs w:val="32"/>
        </w:rPr>
        <w:t>弱视治疗设备通常采用由</w:t>
      </w:r>
      <w:r>
        <w:rPr>
          <w:rFonts w:eastAsia="仿宋_GB2312"/>
          <w:sz w:val="32"/>
          <w:szCs w:val="32"/>
        </w:rPr>
        <w:t>使用者清洁和消毒</w:t>
      </w:r>
      <w:r>
        <w:rPr>
          <w:rFonts w:hint="eastAsia" w:eastAsia="仿宋_GB2312"/>
          <w:sz w:val="32"/>
          <w:szCs w:val="32"/>
        </w:rPr>
        <w:t>的方式，申请人</w:t>
      </w:r>
      <w:r>
        <w:rPr>
          <w:rFonts w:eastAsia="仿宋_GB2312"/>
          <w:sz w:val="32"/>
          <w:szCs w:val="32"/>
        </w:rPr>
        <w:t>应当明确推荐的清洗和消毒工艺（方法和参数）、工艺</w:t>
      </w:r>
      <w:r>
        <w:rPr>
          <w:rFonts w:hint="eastAsia" w:eastAsia="仿宋_GB2312"/>
          <w:sz w:val="32"/>
          <w:szCs w:val="32"/>
        </w:rPr>
        <w:t>以及</w:t>
      </w:r>
      <w:r>
        <w:rPr>
          <w:rFonts w:eastAsia="仿宋_GB2312"/>
          <w:sz w:val="32"/>
          <w:szCs w:val="32"/>
        </w:rPr>
        <w:t>确定依据</w:t>
      </w:r>
      <w:r>
        <w:rPr>
          <w:rFonts w:hint="eastAsia" w:eastAsia="仿宋_GB2312"/>
          <w:sz w:val="32"/>
          <w:szCs w:val="32"/>
        </w:rPr>
        <w:t>，并提交分析</w:t>
      </w:r>
      <w:r>
        <w:rPr>
          <w:rFonts w:eastAsia="仿宋_GB2312"/>
          <w:sz w:val="32"/>
          <w:szCs w:val="32"/>
        </w:rPr>
        <w:t>验证的相关研究资料。</w:t>
      </w:r>
    </w:p>
    <w:p w14:paraId="5650E6A6">
      <w:pPr>
        <w:spacing w:line="520" w:lineRule="exact"/>
        <w:ind w:firstLine="640" w:firstLineChars="200"/>
        <w:rPr>
          <w:rFonts w:eastAsia="仿宋_GB2312"/>
          <w:sz w:val="32"/>
        </w:rPr>
      </w:pPr>
      <w:r>
        <w:rPr>
          <w:rFonts w:hint="eastAsia" w:eastAsia="仿宋_GB2312"/>
          <w:sz w:val="32"/>
        </w:rPr>
        <w:t>4.5</w:t>
      </w:r>
      <w:r>
        <w:rPr>
          <w:rFonts w:eastAsia="仿宋_GB2312"/>
          <w:bCs/>
          <w:sz w:val="32"/>
          <w:szCs w:val="32"/>
        </w:rPr>
        <w:t>证明产品安全性、有效性的其他研究资料。</w:t>
      </w:r>
    </w:p>
    <w:p w14:paraId="5BA14E97">
      <w:pPr>
        <w:spacing w:line="520" w:lineRule="exact"/>
        <w:ind w:firstLine="640" w:firstLineChars="200"/>
      </w:pPr>
      <w:r>
        <w:rPr>
          <w:rFonts w:eastAsia="仿宋_GB2312"/>
          <w:sz w:val="32"/>
        </w:rPr>
        <w:t>根据产品的具体特性，需提供的其他研究资料。</w:t>
      </w:r>
    </w:p>
    <w:p w14:paraId="062829AC">
      <w:pPr>
        <w:spacing w:line="520" w:lineRule="exact"/>
        <w:ind w:firstLine="640" w:firstLineChars="200"/>
        <w:rPr>
          <w:rFonts w:eastAsia="仿宋_GB2312"/>
          <w:sz w:val="32"/>
          <w:szCs w:val="32"/>
        </w:rPr>
      </w:pPr>
      <w:r>
        <w:rPr>
          <w:rFonts w:eastAsia="仿宋_GB2312"/>
          <w:sz w:val="32"/>
          <w:szCs w:val="32"/>
        </w:rPr>
        <w:t>5</w:t>
      </w:r>
      <w:r>
        <w:rPr>
          <w:rFonts w:hint="eastAsia" w:eastAsia="仿宋_GB2312"/>
          <w:sz w:val="32"/>
          <w:szCs w:val="32"/>
        </w:rPr>
        <w:t>稳定性研究</w:t>
      </w:r>
    </w:p>
    <w:p w14:paraId="62D9C494">
      <w:pPr>
        <w:overflowPunct w:val="0"/>
        <w:spacing w:line="520" w:lineRule="exact"/>
        <w:ind w:firstLine="640" w:firstLineChars="200"/>
        <w:outlineLvl w:val="3"/>
        <w:rPr>
          <w:rFonts w:eastAsia="仿宋_GB2312"/>
          <w:sz w:val="32"/>
          <w:szCs w:val="32"/>
        </w:rPr>
      </w:pPr>
      <w:r>
        <w:rPr>
          <w:rFonts w:hint="eastAsia" w:eastAsia="仿宋_GB2312"/>
          <w:sz w:val="32"/>
          <w:szCs w:val="32"/>
        </w:rPr>
        <w:t>5.1使用稳定性</w:t>
      </w:r>
    </w:p>
    <w:p w14:paraId="575758E7">
      <w:pPr>
        <w:overflowPunct w:val="0"/>
        <w:spacing w:line="520" w:lineRule="exact"/>
        <w:ind w:firstLine="640" w:firstLineChars="200"/>
        <w:outlineLvl w:val="3"/>
        <w:rPr>
          <w:rFonts w:eastAsia="仿宋_GB2312"/>
          <w:sz w:val="32"/>
          <w:szCs w:val="32"/>
        </w:rPr>
      </w:pPr>
      <w:r>
        <w:rPr>
          <w:rFonts w:hint="eastAsia" w:eastAsia="仿宋_GB2312"/>
          <w:sz w:val="32"/>
          <w:szCs w:val="32"/>
        </w:rPr>
        <w:t>应依据《有源医疗器械使用期限注册技术审查指导原则》要求，提供产品使用期限分析评价报告。</w:t>
      </w:r>
    </w:p>
    <w:p w14:paraId="4CFA686A">
      <w:pPr>
        <w:overflowPunct w:val="0"/>
        <w:spacing w:line="520" w:lineRule="exact"/>
        <w:ind w:firstLine="640" w:firstLineChars="200"/>
        <w:outlineLvl w:val="3"/>
        <w:rPr>
          <w:rFonts w:eastAsia="仿宋_GB2312"/>
          <w:sz w:val="32"/>
          <w:szCs w:val="32"/>
        </w:rPr>
      </w:pPr>
      <w:r>
        <w:rPr>
          <w:rFonts w:hint="eastAsia" w:eastAsia="仿宋_GB2312"/>
          <w:sz w:val="32"/>
          <w:szCs w:val="32"/>
        </w:rPr>
        <w:t>应根据自身产品临床应用和产品设计情况，确定出产品的关键部件和可更换部件。应明确在预期使用条件下关键部件的使用期限，及可更换部件的定期保养维护时间和更换频次，且应提供确定使用寿命和更换频次的依据。</w:t>
      </w:r>
    </w:p>
    <w:p w14:paraId="3D8483D3">
      <w:pPr>
        <w:overflowPunct w:val="0"/>
        <w:spacing w:line="520" w:lineRule="exact"/>
        <w:ind w:firstLine="640" w:firstLineChars="200"/>
        <w:outlineLvl w:val="3"/>
        <w:rPr>
          <w:rFonts w:eastAsia="仿宋_GB2312"/>
          <w:sz w:val="32"/>
          <w:szCs w:val="32"/>
        </w:rPr>
      </w:pPr>
      <w:r>
        <w:rPr>
          <w:rFonts w:hint="eastAsia" w:eastAsia="仿宋_GB2312"/>
          <w:sz w:val="32"/>
          <w:szCs w:val="32"/>
        </w:rPr>
        <w:t>5.2运输稳定性</w:t>
      </w:r>
    </w:p>
    <w:p w14:paraId="1FC1FCE9">
      <w:pPr>
        <w:spacing w:line="520" w:lineRule="exact"/>
        <w:ind w:firstLine="640" w:firstLineChars="200"/>
        <w:rPr>
          <w:rFonts w:eastAsia="仿宋_GB2312"/>
          <w:sz w:val="32"/>
          <w:szCs w:val="32"/>
        </w:rPr>
      </w:pPr>
      <w:r>
        <w:rPr>
          <w:rFonts w:hint="eastAsia" w:eastAsia="仿宋_GB2312"/>
          <w:sz w:val="32"/>
          <w:szCs w:val="32"/>
        </w:rPr>
        <w:t>应当提供运输稳定性和包装研究资料，证明在生产企业规定的运输条件下，运输过程中的环境条件（例如：震动、振动、温度和湿度的波动）不会对医疗器械的特性和性能造成不利影响，</w:t>
      </w:r>
      <w:r>
        <w:rPr>
          <w:rFonts w:hint="eastAsia" w:eastAsia="仿宋_GB2312"/>
          <w:snapToGrid w:val="0"/>
          <w:kern w:val="0"/>
          <w:sz w:val="32"/>
          <w:szCs w:val="32"/>
        </w:rPr>
        <w:t>可参考GB/T 14710《医用电器环境要求及试验方法》的要求进行研究</w:t>
      </w:r>
      <w:r>
        <w:rPr>
          <w:rFonts w:hint="eastAsia" w:eastAsia="仿宋_GB2312"/>
          <w:sz w:val="32"/>
          <w:szCs w:val="32"/>
        </w:rPr>
        <w:t>。注册申请人应结合声称的储运条件开展包装和环境试验研究，并论述研究设置的合理性。应在申请人所声称的储运条件下进行性能测试，证明运输和环境测试后产品能够保持其完整性和功能性。</w:t>
      </w:r>
    </w:p>
    <w:p w14:paraId="729F7968">
      <w:pPr>
        <w:pStyle w:val="4"/>
      </w:pPr>
      <w:r>
        <w:rPr>
          <w:rFonts w:hint="eastAsia"/>
        </w:rPr>
        <w:t>（四）临床评价资料</w:t>
      </w:r>
    </w:p>
    <w:p w14:paraId="6B0181C4">
      <w:pPr>
        <w:spacing w:line="520" w:lineRule="exact"/>
        <w:ind w:firstLine="640" w:firstLineChars="200"/>
        <w:rPr>
          <w:rFonts w:eastAsia="仿宋_GB2312"/>
          <w:sz w:val="32"/>
          <w:szCs w:val="32"/>
        </w:rPr>
      </w:pPr>
      <w:bookmarkStart w:id="2" w:name="OLE_LINK12"/>
      <w:bookmarkStart w:id="3" w:name="OLE_LINK14"/>
      <w:r>
        <w:rPr>
          <w:rFonts w:hint="eastAsia" w:eastAsia="仿宋_GB2312"/>
          <w:sz w:val="32"/>
          <w:szCs w:val="32"/>
        </w:rPr>
        <w:t>注册申请人应根据《医疗器械临床评价技术指导原则》及的相关要求提交弱视治疗设备的临床评价资料。可通过《决策是否开展医疗器械临床试验技术指导原则》判定是否需要开展临床试验，若需要则依据《医疗器械临床试验质量管理规范》开展临床试验，提交临时试验方案和临床试验报告。若采用同品种比对等评价方式应按照《医疗器械临床评价等同性论证技术指导原则》、《医疗器械注册申报临床评价报告技术指导原则》进行等同性论证和临床评价。</w:t>
      </w:r>
    </w:p>
    <w:bookmarkEnd w:id="2"/>
    <w:bookmarkEnd w:id="3"/>
    <w:p w14:paraId="33DC2720">
      <w:pPr>
        <w:pStyle w:val="4"/>
      </w:pPr>
      <w:r>
        <w:rPr>
          <w:rFonts w:hint="eastAsia"/>
        </w:rPr>
        <w:t>（五）产品说明书和标签样稿</w:t>
      </w:r>
    </w:p>
    <w:p w14:paraId="1FD5D842">
      <w:pPr>
        <w:spacing w:line="520" w:lineRule="exact"/>
        <w:ind w:firstLine="640" w:firstLineChars="200"/>
        <w:rPr>
          <w:rFonts w:eastAsia="仿宋_GB2312"/>
          <w:sz w:val="32"/>
          <w:szCs w:val="32"/>
        </w:rPr>
      </w:pPr>
      <w:r>
        <w:rPr>
          <w:rFonts w:hint="eastAsia" w:eastAsia="仿宋_GB2312"/>
          <w:sz w:val="32"/>
          <w:szCs w:val="32"/>
        </w:rPr>
        <w:t>产品的标志、标签和使用说明书应符合《医疗器械说明书和标签管理规定》（总局令第6号）、《医疗器械软件注册审查指导原则（2022年修订版）》、《医疗器械网络安全注册审查指导原则（2022年修订版）》的规定及YY/T 0466.1、</w:t>
      </w:r>
      <w:r>
        <w:rPr>
          <w:rFonts w:eastAsia="仿宋_GB2312"/>
          <w:sz w:val="32"/>
          <w:szCs w:val="32"/>
        </w:rPr>
        <w:t>GB 9706.1-2020</w:t>
      </w:r>
      <w:r>
        <w:rPr>
          <w:rFonts w:hint="eastAsia" w:eastAsia="仿宋_GB2312"/>
          <w:sz w:val="32"/>
          <w:szCs w:val="32"/>
        </w:rPr>
        <w:t>、G</w:t>
      </w:r>
      <w:r>
        <w:rPr>
          <w:rFonts w:eastAsia="仿宋_GB2312"/>
          <w:sz w:val="32"/>
          <w:szCs w:val="32"/>
        </w:rPr>
        <w:t>B/T 25000.51-2016</w:t>
      </w:r>
      <w:r>
        <w:rPr>
          <w:rFonts w:hint="eastAsia" w:eastAsia="仿宋_GB2312"/>
          <w:sz w:val="32"/>
          <w:szCs w:val="32"/>
        </w:rPr>
        <w:t>等适用标准中有关说明书和标签的规定。</w:t>
      </w:r>
    </w:p>
    <w:p w14:paraId="69D62973">
      <w:pPr>
        <w:spacing w:line="520" w:lineRule="exact"/>
        <w:ind w:firstLine="640" w:firstLineChars="200"/>
        <w:rPr>
          <w:rFonts w:eastAsia="仿宋_GB2312"/>
          <w:sz w:val="32"/>
          <w:szCs w:val="32"/>
        </w:rPr>
      </w:pPr>
      <w:r>
        <w:rPr>
          <w:rFonts w:hint="eastAsia" w:eastAsia="仿宋_GB2312"/>
          <w:sz w:val="32"/>
          <w:szCs w:val="32"/>
        </w:rPr>
        <w:t>说明书中必须告知用户的信息应当完整，如应明确本产品预期使用的环境、适用人群和限制使用的情况。医疗器械说明书和标签的内容应当真实、完整、准确、科学，并与产品特性相一致。医疗器械标签的内容应当与说明书有关内容相符合。医疗器械说明书和标签文字内容应当使用中文，可以附加其他文种。中文的使用应当符合国家通用的语言文字规范。医疗器械说明书、标签的文字、符号、图形、表格、数字、照片、图片等应当准确、清晰、规范，且应相互一致，并符合相关标准和规范要求。</w:t>
      </w:r>
    </w:p>
    <w:p w14:paraId="580119EF">
      <w:pPr>
        <w:spacing w:line="520" w:lineRule="exact"/>
        <w:ind w:firstLine="640" w:firstLineChars="200"/>
        <w:rPr>
          <w:rFonts w:eastAsia="仿宋_GB2312"/>
          <w:sz w:val="32"/>
          <w:szCs w:val="32"/>
        </w:rPr>
      </w:pPr>
      <w:r>
        <w:rPr>
          <w:rFonts w:hint="eastAsia" w:eastAsia="仿宋_GB2312"/>
          <w:sz w:val="32"/>
          <w:szCs w:val="32"/>
        </w:rPr>
        <w:t>同时，说明书、标签应关注以下内容：</w:t>
      </w:r>
    </w:p>
    <w:p w14:paraId="3D4CDB03">
      <w:pPr>
        <w:spacing w:line="52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产品名称、型号规格（应包含软件组件，并注明软件组件的名称、型号规格和发布版本）、主要性能、结构与组成应与产品技术要求内容一致；产品的适用范围应与注册申请表、产品技术要求及临床评价资料一致。</w:t>
      </w:r>
    </w:p>
    <w:p w14:paraId="487ADF3A">
      <w:pPr>
        <w:spacing w:line="52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生产企业名称、住所、生产地址、联系方式及售后服务单位应真实有效，并与《企业法人营业执照》一致；《医疗器械生产企业许可证》编号、医疗器械注册证书编号、产品技术要求编号位置应预留。</w:t>
      </w:r>
    </w:p>
    <w:p w14:paraId="2CD28572">
      <w:pPr>
        <w:spacing w:line="52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w:t>
      </w:r>
      <w:r>
        <w:rPr>
          <w:rFonts w:hint="eastAsia" w:eastAsia="仿宋_GB2312"/>
          <w:sz w:val="32"/>
          <w:szCs w:val="32"/>
        </w:rPr>
        <w:t>医疗器械标签因位置或者大小受限而无法全部标明上述内容的，至少应当标注产品名称、型号、规格、生产日期和使用期限或者失效日期，并在标签中明确“其他内容详见说明书”。</w:t>
      </w:r>
    </w:p>
    <w:p w14:paraId="235623EF">
      <w:pPr>
        <w:spacing w:line="520" w:lineRule="exact"/>
        <w:ind w:firstLine="640" w:firstLineChars="200"/>
        <w:rPr>
          <w:rFonts w:eastAsia="仿宋_GB2312"/>
          <w:sz w:val="32"/>
          <w:szCs w:val="32"/>
        </w:rPr>
      </w:pPr>
      <w:r>
        <w:rPr>
          <w:rFonts w:eastAsia="仿宋_GB2312"/>
          <w:sz w:val="32"/>
          <w:szCs w:val="32"/>
        </w:rPr>
        <w:t>4.</w:t>
      </w:r>
      <w:r>
        <w:rPr>
          <w:rFonts w:hint="eastAsia" w:eastAsia="仿宋_GB2312"/>
          <w:sz w:val="32"/>
          <w:szCs w:val="32"/>
        </w:rPr>
        <w:t>使用说明书中有关注意事项、警示以及提示性内容示例</w:t>
      </w:r>
    </w:p>
    <w:p w14:paraId="3AAD402C">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1</w:t>
      </w:r>
      <w:r>
        <w:rPr>
          <w:rFonts w:hint="eastAsia" w:eastAsia="仿宋_GB2312"/>
          <w:sz w:val="32"/>
          <w:szCs w:val="32"/>
        </w:rPr>
        <w:t>）提醒注意由于电气安装不合适而造成的危险；</w:t>
      </w:r>
    </w:p>
    <w:p w14:paraId="2383A23E">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2</w:t>
      </w:r>
      <w:r>
        <w:rPr>
          <w:rFonts w:hint="eastAsia" w:eastAsia="仿宋_GB2312"/>
          <w:sz w:val="32"/>
          <w:szCs w:val="32"/>
        </w:rPr>
        <w:t>）设备是否能与心脏除颤器及高频手术设备等易受环境影响设备和易对设备造成影响设备一起使用的声明；若可一起使用，安全使用的方法与条件；</w:t>
      </w:r>
    </w:p>
    <w:p w14:paraId="0BF3D83A">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3</w:t>
      </w:r>
      <w:r>
        <w:rPr>
          <w:rFonts w:hint="eastAsia" w:eastAsia="仿宋_GB2312"/>
          <w:sz w:val="32"/>
          <w:szCs w:val="32"/>
        </w:rPr>
        <w:t>）设备可否直接应用于心脏的声明；（若有）</w:t>
      </w:r>
    </w:p>
    <w:p w14:paraId="24BAE949">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4</w:t>
      </w:r>
      <w:r>
        <w:rPr>
          <w:rFonts w:hint="eastAsia" w:eastAsia="仿宋_GB2312"/>
          <w:sz w:val="32"/>
          <w:szCs w:val="32"/>
        </w:rPr>
        <w:t>）可靠工作所必须的程序，及详细的仪器操作方法；</w:t>
      </w:r>
    </w:p>
    <w:p w14:paraId="3194628C">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5</w:t>
      </w:r>
      <w:r>
        <w:rPr>
          <w:rFonts w:hint="eastAsia" w:eastAsia="仿宋_GB2312"/>
          <w:sz w:val="32"/>
          <w:szCs w:val="32"/>
        </w:rPr>
        <w:t>）若有附加电源，且其不能自动地保持在完全可用的状态，应提出警告，规定应对该附加电池进行定期检查和更换。应说明电池规格和正常工作的小时数；电池长期不用应取出说明；可充电电池的安全使用和保养说明。</w:t>
      </w:r>
    </w:p>
    <w:p w14:paraId="24956436">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6</w:t>
      </w:r>
      <w:r>
        <w:rPr>
          <w:rFonts w:hint="eastAsia" w:eastAsia="仿宋_GB2312"/>
          <w:sz w:val="32"/>
          <w:szCs w:val="32"/>
        </w:rPr>
        <w:t>）与患者接触部分推荐使用的消毒程序。</w:t>
      </w:r>
    </w:p>
    <w:p w14:paraId="12322CCF">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7</w:t>
      </w:r>
      <w:r>
        <w:rPr>
          <w:rFonts w:hint="eastAsia" w:eastAsia="仿宋_GB2312"/>
          <w:sz w:val="32"/>
          <w:szCs w:val="32"/>
        </w:rPr>
        <w:t>）对设备所用的图形、符号、缩写等内容的解释，如：所有的电击防护分类、警告性说明和警告性符号的解释。</w:t>
      </w:r>
    </w:p>
    <w:p w14:paraId="29EDB5BA">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8</w:t>
      </w:r>
      <w:r>
        <w:rPr>
          <w:rFonts w:hint="eastAsia" w:eastAsia="仿宋_GB2312"/>
          <w:sz w:val="32"/>
          <w:szCs w:val="32"/>
        </w:rPr>
        <w:t>）该设备与其他装置之间的潜在的电磁干扰或其他干扰资料，以及有关避免这些干扰的建议。</w:t>
      </w:r>
    </w:p>
    <w:p w14:paraId="1F6160B6">
      <w:pPr>
        <w:spacing w:line="520" w:lineRule="exact"/>
        <w:ind w:firstLine="640" w:firstLineChars="200"/>
        <w:rPr>
          <w:rFonts w:eastAsia="仿宋_GB2312"/>
          <w:sz w:val="32"/>
          <w:szCs w:val="32"/>
        </w:rPr>
      </w:pPr>
      <w:r>
        <w:rPr>
          <w:rFonts w:hint="eastAsia" w:eastAsia="仿宋_GB2312"/>
          <w:sz w:val="32"/>
          <w:szCs w:val="32"/>
        </w:rPr>
        <w:t>（</w:t>
      </w:r>
      <w:r>
        <w:rPr>
          <w:rFonts w:eastAsia="仿宋_GB2312"/>
          <w:sz w:val="32"/>
          <w:szCs w:val="32"/>
        </w:rPr>
        <w:t>9</w:t>
      </w:r>
      <w:r>
        <w:rPr>
          <w:rFonts w:hint="eastAsia" w:eastAsia="仿宋_GB2312"/>
          <w:sz w:val="32"/>
          <w:szCs w:val="32"/>
        </w:rPr>
        <w:t>）指明有关废弃物、残渣等以及设备和附件在其使用寿命末期时的处理的任何风险；提供把这些风险降低至最小的建议。</w:t>
      </w:r>
    </w:p>
    <w:p w14:paraId="07BEB314">
      <w:pPr>
        <w:spacing w:line="520" w:lineRule="exact"/>
        <w:ind w:firstLine="640" w:firstLineChars="200"/>
        <w:outlineLvl w:val="1"/>
        <w:rPr>
          <w:rFonts w:eastAsia="楷体_GB2312"/>
          <w:bCs/>
          <w:sz w:val="32"/>
          <w:szCs w:val="32"/>
        </w:rPr>
      </w:pPr>
      <w:r>
        <w:rPr>
          <w:rFonts w:hint="eastAsia" w:eastAsia="楷体_GB2312"/>
          <w:bCs/>
          <w:sz w:val="32"/>
          <w:szCs w:val="32"/>
        </w:rPr>
        <w:t>（六）质量管理体系文件</w:t>
      </w:r>
    </w:p>
    <w:p w14:paraId="39E8C4D5">
      <w:pPr>
        <w:spacing w:line="520" w:lineRule="exact"/>
        <w:ind w:firstLine="640" w:firstLineChars="200"/>
        <w:rPr>
          <w:rFonts w:eastAsia="仿宋_GB2312"/>
          <w:sz w:val="32"/>
          <w:szCs w:val="32"/>
        </w:rPr>
      </w:pPr>
      <w:bookmarkStart w:id="4" w:name="_Hlk136954644"/>
      <w:r>
        <w:rPr>
          <w:rFonts w:eastAsia="仿宋_GB2312"/>
          <w:sz w:val="32"/>
          <w:szCs w:val="32"/>
        </w:rPr>
        <w:t>依据</w:t>
      </w:r>
      <w:r>
        <w:rPr>
          <w:rFonts w:hint="eastAsia" w:eastAsia="仿宋_GB2312"/>
          <w:sz w:val="32"/>
          <w:szCs w:val="32"/>
        </w:rPr>
        <w:t>《</w:t>
      </w:r>
      <w:r>
        <w:rPr>
          <w:rFonts w:eastAsia="仿宋_GB2312"/>
          <w:sz w:val="32"/>
          <w:szCs w:val="32"/>
        </w:rPr>
        <w:t>医疗器械注册申报资料要求和批准证明文件格式</w:t>
      </w:r>
      <w:r>
        <w:rPr>
          <w:rFonts w:hint="eastAsia" w:eastAsia="仿宋_GB2312"/>
          <w:sz w:val="32"/>
          <w:szCs w:val="32"/>
        </w:rPr>
        <w:t>》</w:t>
      </w:r>
      <w:r>
        <w:rPr>
          <w:rFonts w:eastAsia="仿宋_GB2312"/>
          <w:sz w:val="32"/>
          <w:szCs w:val="32"/>
        </w:rPr>
        <w:t>的公告</w:t>
      </w:r>
      <w:bookmarkEnd w:id="4"/>
      <w:r>
        <w:rPr>
          <w:rFonts w:eastAsia="仿宋_GB2312"/>
          <w:sz w:val="32"/>
          <w:szCs w:val="32"/>
        </w:rPr>
        <w:t>提供申报注册</w:t>
      </w:r>
      <w:r>
        <w:rPr>
          <w:rFonts w:hint="eastAsia" w:eastAsia="仿宋_GB2312"/>
          <w:sz w:val="32"/>
          <w:szCs w:val="32"/>
        </w:rPr>
        <w:t>产品</w:t>
      </w:r>
      <w:r>
        <w:rPr>
          <w:rFonts w:eastAsia="仿宋_GB2312"/>
          <w:sz w:val="32"/>
          <w:szCs w:val="32"/>
        </w:rPr>
        <w:t>的</w:t>
      </w:r>
      <w:r>
        <w:rPr>
          <w:rFonts w:hint="eastAsia" w:eastAsia="仿宋_GB2312"/>
          <w:sz w:val="32"/>
          <w:szCs w:val="32"/>
        </w:rPr>
        <w:t>质量管理体系文件。</w:t>
      </w:r>
    </w:p>
    <w:p w14:paraId="31D3EC8E">
      <w:pPr>
        <w:numPr>
          <w:ilvl w:val="0"/>
          <w:numId w:val="2"/>
        </w:numPr>
        <w:spacing w:line="520" w:lineRule="exact"/>
        <w:ind w:left="319" w:leftChars="152" w:firstLine="195" w:firstLineChars="61"/>
        <w:jc w:val="left"/>
        <w:rPr>
          <w:rFonts w:eastAsia="仿宋_GB2312"/>
          <w:color w:val="000000"/>
          <w:sz w:val="32"/>
          <w:szCs w:val="32"/>
        </w:rPr>
      </w:pPr>
      <w:r>
        <w:rPr>
          <w:rFonts w:eastAsia="仿宋_GB2312"/>
          <w:color w:val="000000"/>
          <w:sz w:val="32"/>
          <w:szCs w:val="32"/>
        </w:rPr>
        <w:t>产品生产制造相关要求</w:t>
      </w:r>
    </w:p>
    <w:p w14:paraId="2A26E0E0">
      <w:pPr>
        <w:spacing w:line="520" w:lineRule="exact"/>
        <w:ind w:firstLine="640" w:firstLineChars="200"/>
        <w:rPr>
          <w:rFonts w:eastAsia="仿宋_GB2312"/>
          <w:sz w:val="32"/>
          <w:szCs w:val="32"/>
        </w:rPr>
      </w:pPr>
      <w:r>
        <w:rPr>
          <w:rFonts w:eastAsia="仿宋_GB2312"/>
          <w:sz w:val="32"/>
          <w:szCs w:val="32"/>
        </w:rPr>
        <w:t>应当明确产品生产工艺过程，工艺过程可采用流程图的形式，且应结合产品实际生产过程细化产品生产工艺介绍，应能体现出外协加工部分（如有）、半成品加工过程。工艺流程图中应明示关键工序、特殊过程（如有）、过程控制点、各工序对环境的要求、使用的相关设备以及对设备精度的要求等，并说明其每道工序的操作说明及接收和放行标准，同时对过程控制要点进行详细说明。</w:t>
      </w:r>
    </w:p>
    <w:p w14:paraId="308DAA52">
      <w:pPr>
        <w:spacing w:line="520" w:lineRule="exact"/>
        <w:ind w:firstLine="640" w:firstLineChars="200"/>
        <w:rPr>
          <w:rFonts w:eastAsia="仿宋_GB2312"/>
          <w:color w:val="000000"/>
          <w:sz w:val="32"/>
          <w:szCs w:val="32"/>
        </w:rPr>
      </w:pPr>
      <w:r>
        <w:rPr>
          <w:rFonts w:eastAsia="仿宋_GB2312"/>
          <w:color w:val="000000"/>
          <w:sz w:val="32"/>
          <w:szCs w:val="32"/>
        </w:rPr>
        <w:t>2.生产场地</w:t>
      </w:r>
    </w:p>
    <w:p w14:paraId="00023242">
      <w:pPr>
        <w:spacing w:line="520" w:lineRule="exact"/>
        <w:ind w:firstLine="640" w:firstLineChars="200"/>
        <w:rPr>
          <w:rFonts w:eastAsia="仿宋_GB2312"/>
          <w:sz w:val="32"/>
          <w:szCs w:val="32"/>
        </w:rPr>
      </w:pPr>
      <w:r>
        <w:rPr>
          <w:rFonts w:eastAsia="仿宋_GB2312"/>
          <w:color w:val="000000"/>
          <w:sz w:val="32"/>
          <w:szCs w:val="32"/>
        </w:rPr>
        <w:t>应详细说明产品生产场地地址、生产工艺布局、生产环境要求及周边情况。有多个研制、生产场地，应当概述每个研制、生产场地的实际情况。</w:t>
      </w:r>
      <w:r>
        <w:rPr>
          <w:rFonts w:hint="eastAsia" w:eastAsia="仿宋_GB2312"/>
          <w:sz w:val="32"/>
          <w:szCs w:val="32"/>
        </w:rPr>
        <w:t xml:space="preserve"> </w:t>
      </w:r>
    </w:p>
    <w:p w14:paraId="6F4EAD98">
      <w:pPr>
        <w:numPr>
          <w:ilvl w:val="0"/>
          <w:numId w:val="3"/>
        </w:numPr>
        <w:spacing w:line="520" w:lineRule="exact"/>
        <w:ind w:right="-67" w:rightChars="-32" w:firstLine="640" w:firstLineChars="200"/>
        <w:rPr>
          <w:rFonts w:eastAsia="黑体"/>
          <w:color w:val="000000"/>
          <w:sz w:val="32"/>
          <w:szCs w:val="32"/>
        </w:rPr>
      </w:pPr>
      <w:r>
        <w:rPr>
          <w:rFonts w:hint="eastAsia" w:eastAsia="黑体"/>
          <w:color w:val="000000"/>
          <w:sz w:val="32"/>
          <w:szCs w:val="32"/>
        </w:rPr>
        <w:t>参考文献</w:t>
      </w:r>
    </w:p>
    <w:p w14:paraId="38669316">
      <w:pPr>
        <w:pStyle w:val="27"/>
        <w:numPr>
          <w:ilvl w:val="0"/>
          <w:numId w:val="4"/>
        </w:numPr>
        <w:rPr>
          <w:sz w:val="28"/>
          <w:szCs w:val="24"/>
        </w:rPr>
      </w:pPr>
      <w:r>
        <w:rPr>
          <w:sz w:val="28"/>
          <w:szCs w:val="24"/>
        </w:rPr>
        <w:t>GB 9706.1-2020</w:t>
      </w:r>
      <w:r>
        <w:rPr>
          <w:rFonts w:hint="eastAsia"/>
          <w:sz w:val="28"/>
          <w:szCs w:val="24"/>
        </w:rPr>
        <w:t>，医用电气设备 第1部分：基本安全和基本性能的通用要求</w:t>
      </w:r>
      <w:r>
        <w:rPr>
          <w:sz w:val="28"/>
          <w:szCs w:val="24"/>
        </w:rPr>
        <w:t>[S].</w:t>
      </w:r>
    </w:p>
    <w:p w14:paraId="1BC92E3E">
      <w:pPr>
        <w:pStyle w:val="27"/>
        <w:numPr>
          <w:ilvl w:val="0"/>
          <w:numId w:val="4"/>
        </w:numPr>
        <w:rPr>
          <w:sz w:val="28"/>
          <w:szCs w:val="24"/>
        </w:rPr>
      </w:pPr>
      <w:r>
        <w:rPr>
          <w:rFonts w:hint="eastAsia"/>
          <w:sz w:val="28"/>
          <w:szCs w:val="24"/>
        </w:rPr>
        <w:t>YY 9706.111-2021,医用电气设备 第1-11部分：基本安全和基本性能的通用要求 并列标准：在家庭护理环境中使用的医用电气设备和医用电气系统的要求[S].</w:t>
      </w:r>
    </w:p>
    <w:p w14:paraId="522585CA">
      <w:pPr>
        <w:pStyle w:val="27"/>
        <w:numPr>
          <w:ilvl w:val="0"/>
          <w:numId w:val="4"/>
        </w:numPr>
        <w:rPr>
          <w:sz w:val="28"/>
          <w:szCs w:val="24"/>
        </w:rPr>
      </w:pPr>
      <w:r>
        <w:rPr>
          <w:rFonts w:hint="eastAsia"/>
          <w:sz w:val="28"/>
          <w:szCs w:val="24"/>
        </w:rPr>
        <w:t xml:space="preserve">YY </w:t>
      </w:r>
      <w:r>
        <w:rPr>
          <w:sz w:val="28"/>
          <w:szCs w:val="24"/>
        </w:rPr>
        <w:t>9706.102,</w:t>
      </w:r>
      <w:r>
        <w:rPr>
          <w:rFonts w:hint="eastAsia"/>
          <w:sz w:val="28"/>
          <w:szCs w:val="24"/>
        </w:rPr>
        <w:t xml:space="preserve"> </w:t>
      </w:r>
      <w:r>
        <w:rPr>
          <w:sz w:val="28"/>
          <w:szCs w:val="24"/>
        </w:rPr>
        <w:t>医用电气设备 第1-2部分：基本安全和基本性能的通用要求 并列标准：电磁兼容 要求和试验[S].</w:t>
      </w:r>
    </w:p>
    <w:p w14:paraId="048A6536">
      <w:pPr>
        <w:pStyle w:val="27"/>
        <w:numPr>
          <w:ilvl w:val="0"/>
          <w:numId w:val="4"/>
        </w:numPr>
        <w:rPr>
          <w:sz w:val="28"/>
          <w:szCs w:val="24"/>
        </w:rPr>
      </w:pPr>
      <w:r>
        <w:rPr>
          <w:sz w:val="28"/>
          <w:szCs w:val="24"/>
        </w:rPr>
        <w:t>GB/T 14710</w:t>
      </w:r>
      <w:r>
        <w:rPr>
          <w:rFonts w:hint="eastAsia"/>
          <w:sz w:val="28"/>
          <w:szCs w:val="24"/>
        </w:rPr>
        <w:t>-</w:t>
      </w:r>
      <w:r>
        <w:rPr>
          <w:sz w:val="28"/>
          <w:szCs w:val="24"/>
        </w:rPr>
        <w:t>2009</w:t>
      </w:r>
      <w:r>
        <w:rPr>
          <w:rFonts w:hint="eastAsia"/>
          <w:sz w:val="28"/>
          <w:szCs w:val="24"/>
        </w:rPr>
        <w:t>，</w:t>
      </w:r>
      <w:r>
        <w:rPr>
          <w:sz w:val="28"/>
          <w:szCs w:val="24"/>
        </w:rPr>
        <w:t>医用电器设备环境要求及试验方法[S].</w:t>
      </w:r>
    </w:p>
    <w:p w14:paraId="4C597F64">
      <w:pPr>
        <w:pStyle w:val="27"/>
        <w:numPr>
          <w:ilvl w:val="0"/>
          <w:numId w:val="4"/>
        </w:numPr>
        <w:rPr>
          <w:sz w:val="28"/>
          <w:szCs w:val="24"/>
        </w:rPr>
      </w:pPr>
      <w:r>
        <w:rPr>
          <w:sz w:val="28"/>
          <w:szCs w:val="24"/>
        </w:rPr>
        <w:t>GB/T 16886.1</w:t>
      </w:r>
      <w:r>
        <w:rPr>
          <w:rFonts w:hint="eastAsia"/>
          <w:sz w:val="28"/>
          <w:szCs w:val="24"/>
        </w:rPr>
        <w:t>-</w:t>
      </w:r>
      <w:r>
        <w:rPr>
          <w:sz w:val="28"/>
          <w:szCs w:val="24"/>
        </w:rPr>
        <w:t>20</w:t>
      </w:r>
      <w:r>
        <w:rPr>
          <w:rFonts w:hint="eastAsia"/>
          <w:sz w:val="28"/>
          <w:szCs w:val="24"/>
        </w:rPr>
        <w:t>22，</w:t>
      </w:r>
      <w:r>
        <w:rPr>
          <w:sz w:val="28"/>
          <w:szCs w:val="24"/>
        </w:rPr>
        <w:t>医疗器械生物学评价 第1部分：风险管理过程中的评价与试验[S].</w:t>
      </w:r>
    </w:p>
    <w:p w14:paraId="2078F0B4">
      <w:pPr>
        <w:pStyle w:val="27"/>
        <w:numPr>
          <w:ilvl w:val="0"/>
          <w:numId w:val="4"/>
        </w:numPr>
        <w:rPr>
          <w:sz w:val="28"/>
          <w:szCs w:val="24"/>
        </w:rPr>
      </w:pPr>
      <w:r>
        <w:rPr>
          <w:sz w:val="28"/>
          <w:szCs w:val="24"/>
        </w:rPr>
        <w:t>GB/T 16886.5</w:t>
      </w:r>
      <w:r>
        <w:rPr>
          <w:rFonts w:hint="eastAsia"/>
          <w:sz w:val="28"/>
          <w:szCs w:val="24"/>
        </w:rPr>
        <w:t>-</w:t>
      </w:r>
      <w:r>
        <w:rPr>
          <w:sz w:val="28"/>
          <w:szCs w:val="24"/>
        </w:rPr>
        <w:t>2017</w:t>
      </w:r>
      <w:r>
        <w:rPr>
          <w:rFonts w:hint="eastAsia"/>
          <w:sz w:val="28"/>
          <w:szCs w:val="24"/>
        </w:rPr>
        <w:t>，</w:t>
      </w:r>
      <w:r>
        <w:rPr>
          <w:sz w:val="28"/>
          <w:szCs w:val="24"/>
        </w:rPr>
        <w:t>医疗器械生物学评价 第5部分：体外细胞毒性试验[S].</w:t>
      </w:r>
    </w:p>
    <w:p w14:paraId="5AB6E6E8">
      <w:pPr>
        <w:pStyle w:val="27"/>
        <w:numPr>
          <w:ilvl w:val="0"/>
          <w:numId w:val="4"/>
        </w:numPr>
        <w:rPr>
          <w:sz w:val="28"/>
          <w:szCs w:val="24"/>
        </w:rPr>
      </w:pPr>
      <w:r>
        <w:rPr>
          <w:sz w:val="28"/>
          <w:szCs w:val="24"/>
        </w:rPr>
        <w:t>GB/T 16886.10</w:t>
      </w:r>
      <w:r>
        <w:rPr>
          <w:rFonts w:hint="eastAsia"/>
          <w:sz w:val="28"/>
          <w:szCs w:val="24"/>
        </w:rPr>
        <w:t>-</w:t>
      </w:r>
      <w:r>
        <w:rPr>
          <w:sz w:val="28"/>
          <w:szCs w:val="24"/>
        </w:rPr>
        <w:t>2017</w:t>
      </w:r>
      <w:r>
        <w:rPr>
          <w:rFonts w:hint="eastAsia"/>
          <w:sz w:val="28"/>
          <w:szCs w:val="24"/>
        </w:rPr>
        <w:t>，</w:t>
      </w:r>
      <w:r>
        <w:rPr>
          <w:sz w:val="28"/>
          <w:szCs w:val="24"/>
        </w:rPr>
        <w:t>医疗器械生物学评价 第10部分：刺激与迟发型超敏反应试验[S].</w:t>
      </w:r>
    </w:p>
    <w:p w14:paraId="35C530FE">
      <w:pPr>
        <w:pStyle w:val="27"/>
        <w:numPr>
          <w:ilvl w:val="0"/>
          <w:numId w:val="4"/>
        </w:numPr>
        <w:rPr>
          <w:sz w:val="28"/>
          <w:szCs w:val="24"/>
        </w:rPr>
      </w:pPr>
      <w:r>
        <w:rPr>
          <w:sz w:val="28"/>
          <w:szCs w:val="24"/>
        </w:rPr>
        <w:t>GB/T 25000.51</w:t>
      </w:r>
      <w:r>
        <w:rPr>
          <w:rFonts w:hint="eastAsia"/>
          <w:sz w:val="28"/>
          <w:szCs w:val="24"/>
        </w:rPr>
        <w:t>-</w:t>
      </w:r>
      <w:r>
        <w:rPr>
          <w:sz w:val="28"/>
          <w:szCs w:val="24"/>
        </w:rPr>
        <w:t>2016</w:t>
      </w:r>
      <w:r>
        <w:rPr>
          <w:rFonts w:hint="eastAsia"/>
          <w:sz w:val="28"/>
          <w:szCs w:val="24"/>
        </w:rPr>
        <w:t>，</w:t>
      </w:r>
      <w:r>
        <w:rPr>
          <w:sz w:val="28"/>
          <w:szCs w:val="24"/>
        </w:rPr>
        <w:t>系统与软件工程 系统与软件质量要求和评价（SQuaRE） 第51部分：就绪可用软件（RUSP）的质量要求和测试细则[S].</w:t>
      </w:r>
    </w:p>
    <w:p w14:paraId="68F54A86">
      <w:pPr>
        <w:pStyle w:val="27"/>
        <w:numPr>
          <w:ilvl w:val="0"/>
          <w:numId w:val="4"/>
        </w:numPr>
        <w:rPr>
          <w:sz w:val="28"/>
          <w:szCs w:val="24"/>
        </w:rPr>
      </w:pPr>
      <w:r>
        <w:rPr>
          <w:sz w:val="28"/>
          <w:szCs w:val="24"/>
        </w:rPr>
        <w:t>GB/T 42062-2022,</w:t>
      </w:r>
      <w:r>
        <w:rPr>
          <w:rFonts w:hint="eastAsia"/>
          <w:sz w:val="28"/>
          <w:szCs w:val="24"/>
        </w:rPr>
        <w:t>医疗器械风险管理对医疗器械的应用</w:t>
      </w:r>
      <w:r>
        <w:rPr>
          <w:sz w:val="28"/>
          <w:szCs w:val="24"/>
        </w:rPr>
        <w:t>[S].</w:t>
      </w:r>
    </w:p>
    <w:p w14:paraId="2538F71C">
      <w:pPr>
        <w:pStyle w:val="27"/>
        <w:numPr>
          <w:ilvl w:val="0"/>
          <w:numId w:val="4"/>
        </w:numPr>
        <w:rPr>
          <w:sz w:val="28"/>
          <w:szCs w:val="24"/>
        </w:rPr>
      </w:pPr>
      <w:r>
        <w:rPr>
          <w:rFonts w:hint="eastAsia"/>
          <w:sz w:val="28"/>
          <w:szCs w:val="24"/>
        </w:rPr>
        <w:t>国家食品药品监督管理局.移动医疗器械注册技术审查指导原则:总局通告2017年第222号</w:t>
      </w:r>
      <w:r>
        <w:rPr>
          <w:sz w:val="28"/>
          <w:szCs w:val="24"/>
        </w:rPr>
        <w:t>[Z].</w:t>
      </w:r>
    </w:p>
    <w:p w14:paraId="156CAD63">
      <w:pPr>
        <w:pStyle w:val="27"/>
        <w:numPr>
          <w:ilvl w:val="0"/>
          <w:numId w:val="4"/>
        </w:numPr>
        <w:rPr>
          <w:sz w:val="28"/>
          <w:szCs w:val="24"/>
        </w:rPr>
      </w:pPr>
      <w:r>
        <w:rPr>
          <w:rFonts w:hint="eastAsia"/>
          <w:sz w:val="28"/>
          <w:szCs w:val="24"/>
        </w:rPr>
        <w:t>国家药品监督管理局医疗器械审评中心</w:t>
      </w:r>
      <w:r>
        <w:rPr>
          <w:sz w:val="28"/>
          <w:szCs w:val="24"/>
        </w:rPr>
        <w:t>.医疗器械网络安全注册审查指导原则（2022年修订版）</w:t>
      </w:r>
      <w:r>
        <w:rPr>
          <w:rFonts w:hint="eastAsia"/>
          <w:sz w:val="28"/>
          <w:szCs w:val="24"/>
        </w:rPr>
        <w:t>:国家药监局器审中心通告2022年第7号</w:t>
      </w:r>
      <w:r>
        <w:rPr>
          <w:sz w:val="28"/>
          <w:szCs w:val="24"/>
        </w:rPr>
        <w:t>[Z]</w:t>
      </w:r>
    </w:p>
    <w:p w14:paraId="05447BFF">
      <w:pPr>
        <w:pStyle w:val="27"/>
        <w:numPr>
          <w:ilvl w:val="0"/>
          <w:numId w:val="4"/>
        </w:numPr>
        <w:rPr>
          <w:kern w:val="0"/>
          <w:sz w:val="28"/>
          <w:szCs w:val="24"/>
        </w:rPr>
      </w:pPr>
      <w:r>
        <w:rPr>
          <w:sz w:val="28"/>
          <w:szCs w:val="24"/>
          <w:lang w:val="en"/>
        </w:rPr>
        <w:t>国家食品药品监督管理局</w:t>
      </w:r>
      <w:r>
        <w:rPr>
          <w:sz w:val="28"/>
          <w:szCs w:val="24"/>
        </w:rPr>
        <w:t>.医疗器械注册单元划分指导原则</w:t>
      </w:r>
      <w:r>
        <w:rPr>
          <w:rFonts w:hint="eastAsia"/>
          <w:sz w:val="28"/>
          <w:szCs w:val="24"/>
        </w:rPr>
        <w:t>:总局通</w:t>
      </w:r>
      <w:r>
        <w:rPr>
          <w:sz w:val="28"/>
          <w:szCs w:val="24"/>
          <w:lang w:val="en"/>
        </w:rPr>
        <w:t>告2017年第187号</w:t>
      </w:r>
      <w:r>
        <w:rPr>
          <w:sz w:val="28"/>
          <w:szCs w:val="24"/>
        </w:rPr>
        <w:t>[Z].</w:t>
      </w:r>
    </w:p>
    <w:p w14:paraId="2F558EA0">
      <w:pPr>
        <w:pStyle w:val="27"/>
        <w:numPr>
          <w:ilvl w:val="0"/>
          <w:numId w:val="4"/>
        </w:numPr>
        <w:rPr>
          <w:sz w:val="28"/>
          <w:szCs w:val="24"/>
        </w:rPr>
      </w:pPr>
      <w:r>
        <w:rPr>
          <w:rFonts w:hint="eastAsia"/>
          <w:sz w:val="28"/>
          <w:szCs w:val="24"/>
        </w:rPr>
        <w:t>国家药品监督管理局医疗器械审评中心.</w:t>
      </w:r>
      <w:r>
        <w:rPr>
          <w:sz w:val="28"/>
          <w:szCs w:val="24"/>
        </w:rPr>
        <w:t>医疗器械软件注册审查指导原则</w:t>
      </w:r>
      <w:r>
        <w:rPr>
          <w:rFonts w:hint="eastAsia"/>
          <w:sz w:val="28"/>
          <w:szCs w:val="24"/>
        </w:rPr>
        <w:t>（2022年修订版）:国家药监局器审中心通告2022年第9号</w:t>
      </w:r>
      <w:r>
        <w:rPr>
          <w:sz w:val="28"/>
          <w:szCs w:val="24"/>
        </w:rPr>
        <w:t>[Z].</w:t>
      </w:r>
    </w:p>
    <w:p w14:paraId="004D5151">
      <w:pPr>
        <w:pStyle w:val="27"/>
        <w:numPr>
          <w:ilvl w:val="0"/>
          <w:numId w:val="4"/>
        </w:numPr>
        <w:rPr>
          <w:rFonts w:hint="eastAsia"/>
          <w:sz w:val="28"/>
          <w:szCs w:val="24"/>
        </w:rPr>
      </w:pPr>
      <w:r>
        <w:rPr>
          <w:rFonts w:hint="eastAsia"/>
          <w:sz w:val="28"/>
          <w:szCs w:val="24"/>
        </w:rPr>
        <w:t>国家药品监督管理局.</w:t>
      </w:r>
      <w:r>
        <w:rPr>
          <w:sz w:val="28"/>
          <w:szCs w:val="24"/>
        </w:rPr>
        <w:t>医疗器械产品技术要求编写指导原则</w:t>
      </w:r>
      <w:r>
        <w:rPr>
          <w:rFonts w:hint="eastAsia"/>
          <w:sz w:val="28"/>
          <w:szCs w:val="24"/>
        </w:rPr>
        <w:t>:国家药监局公告2022年第8号[Z].</w:t>
      </w:r>
    </w:p>
    <w:sectPr>
      <w:footerReference r:id="rId3" w:type="default"/>
      <w:pgSz w:w="11906" w:h="16838"/>
      <w:pgMar w:top="2098" w:right="1588" w:bottom="2098" w:left="1588" w:header="851" w:footer="1286" w:gutter="0"/>
      <w:lnNumType w:countBy="1"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Mongolian Baiti">
    <w:panose1 w:val="03000500000000000000"/>
    <w:charset w:val="00"/>
    <w:family w:val="script"/>
    <w:pitch w:val="default"/>
    <w:sig w:usb0="80000023" w:usb1="00000000" w:usb2="00020000" w:usb3="00000000" w:csb0="00000001" w:csb1="00000000"/>
  </w:font>
  <w:font w:name="MHeiGB">
    <w:altName w:val="微软雅黑"/>
    <w:panose1 w:val="00000000000000000000"/>
    <w:charset w:val="86"/>
    <w:family w:val="swiss"/>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1A10">
    <w:pPr>
      <w:pStyle w:val="12"/>
      <w:wordWrap w:val="0"/>
      <w:jc w:val="right"/>
    </w:pPr>
    <w:r>
      <w:rPr>
        <w:rFonts w:hint="eastAsi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78535" cy="230505"/>
              <wp:effectExtent l="0" t="0" r="12700" b="6350"/>
              <wp:wrapNone/>
              <wp:docPr id="53506139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wps:spPr>
                    <wps:txbx>
                      <w:txbxContent>
                        <w:p w14:paraId="4FDFDB44">
                          <w:pPr>
                            <w:pStyle w:val="12"/>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8.15pt;width:77.05pt;mso-position-horizontal:outside;mso-position-horizontal-relative:margin;mso-wrap-style:none;z-index:251659264;mso-width-relative:page;mso-height-relative:page;" filled="f" stroked="f" coordsize="21600,21600" o:gfxdata="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Y9/WDSAAAABAEAAA8AAAAAAAAAAQAgAAAA&#10;IgAAAGRycy9kb3ducmV2LnhtbFBLAQIUABQAAAAIAIdO4kA4cKJnEQIAAAoEAAAOAAAAAAAAAAEA&#10;IAAAACEBAABkcnMvZTJvRG9jLnhtbFBLBQYAAAAABgAGAFkBAACkBQAAAAA=&#10;">
              <v:fill on="f" focussize="0,0"/>
              <v:stroke on="f"/>
              <v:imagedata o:title=""/>
              <o:lock v:ext="edit" aspectratio="f"/>
              <v:textbox inset="0mm,0mm,0mm,0mm" style="mso-fit-shape-to-text:t;">
                <w:txbxContent>
                  <w:p w14:paraId="4FDFDB44">
                    <w:pPr>
                      <w:pStyle w:val="12"/>
                      <w:rPr>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B7C9B"/>
    <w:multiLevelType w:val="singleLevel"/>
    <w:tmpl w:val="1ECB7C9B"/>
    <w:lvl w:ilvl="0" w:tentative="0">
      <w:start w:val="3"/>
      <w:numFmt w:val="chineseCounting"/>
      <w:suff w:val="nothing"/>
      <w:lvlText w:val="%1、"/>
      <w:lvlJc w:val="left"/>
      <w:rPr>
        <w:rFonts w:hint="eastAsia"/>
        <w:lang w:val="en-US"/>
      </w:rPr>
    </w:lvl>
  </w:abstractNum>
  <w:abstractNum w:abstractNumId="1">
    <w:nsid w:val="36133B7B"/>
    <w:multiLevelType w:val="multilevel"/>
    <w:tmpl w:val="36133B7B"/>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1800986"/>
    <w:multiLevelType w:val="multilevel"/>
    <w:tmpl w:val="41800986"/>
    <w:lvl w:ilvl="0" w:tentative="0">
      <w:start w:val="1"/>
      <w:numFmt w:val="lowerLetter"/>
      <w:pStyle w:val="27"/>
      <w:lvlText w:val="(%1)"/>
      <w:lvlJc w:val="left"/>
      <w:pPr>
        <w:ind w:left="1080" w:hanging="440"/>
      </w:pPr>
      <w:rPr>
        <w:rFonts w:hint="eastAsia"/>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abstractNum w:abstractNumId="3">
    <w:nsid w:val="584E4F4F"/>
    <w:multiLevelType w:val="singleLevel"/>
    <w:tmpl w:val="584E4F4F"/>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evenAndOddHeaders w:val="1"/>
  <w:drawingGridHorizontalSpacing w:val="105"/>
  <w:drawingGridVerticalSpacing w:val="3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1YjUxYTcxNzkzZTM1YTYzZGUzM2UzNGRlZjBlZjEifQ=="/>
  </w:docVars>
  <w:rsids>
    <w:rsidRoot w:val="00C70759"/>
    <w:rsid w:val="000006E0"/>
    <w:rsid w:val="00024B6C"/>
    <w:rsid w:val="0002618E"/>
    <w:rsid w:val="000306F9"/>
    <w:rsid w:val="0003098C"/>
    <w:rsid w:val="00030BAC"/>
    <w:rsid w:val="0003227F"/>
    <w:rsid w:val="000327D0"/>
    <w:rsid w:val="00032F30"/>
    <w:rsid w:val="00034CA1"/>
    <w:rsid w:val="00034F40"/>
    <w:rsid w:val="0003761B"/>
    <w:rsid w:val="00041AC3"/>
    <w:rsid w:val="0005797E"/>
    <w:rsid w:val="00061B27"/>
    <w:rsid w:val="00061B2B"/>
    <w:rsid w:val="00061BE9"/>
    <w:rsid w:val="00063A68"/>
    <w:rsid w:val="00065C3D"/>
    <w:rsid w:val="0007588A"/>
    <w:rsid w:val="000777B4"/>
    <w:rsid w:val="000779C1"/>
    <w:rsid w:val="0008035A"/>
    <w:rsid w:val="0009426B"/>
    <w:rsid w:val="000A0185"/>
    <w:rsid w:val="000A2641"/>
    <w:rsid w:val="000A3AD4"/>
    <w:rsid w:val="000A4A5A"/>
    <w:rsid w:val="000A6B52"/>
    <w:rsid w:val="000B4186"/>
    <w:rsid w:val="000B457B"/>
    <w:rsid w:val="000B71A9"/>
    <w:rsid w:val="000B727A"/>
    <w:rsid w:val="000B7EB3"/>
    <w:rsid w:val="000C017F"/>
    <w:rsid w:val="000C0627"/>
    <w:rsid w:val="000C1E33"/>
    <w:rsid w:val="000C4529"/>
    <w:rsid w:val="000D32E1"/>
    <w:rsid w:val="000D4CCA"/>
    <w:rsid w:val="000D580E"/>
    <w:rsid w:val="000D7A93"/>
    <w:rsid w:val="000E0BB4"/>
    <w:rsid w:val="000E55BC"/>
    <w:rsid w:val="000E76BF"/>
    <w:rsid w:val="000E7EB8"/>
    <w:rsid w:val="000F3107"/>
    <w:rsid w:val="000F32A8"/>
    <w:rsid w:val="000F42CF"/>
    <w:rsid w:val="000F6507"/>
    <w:rsid w:val="000F6551"/>
    <w:rsid w:val="00104378"/>
    <w:rsid w:val="00107C97"/>
    <w:rsid w:val="00110D16"/>
    <w:rsid w:val="00110DD8"/>
    <w:rsid w:val="00113EE4"/>
    <w:rsid w:val="0011456F"/>
    <w:rsid w:val="00115684"/>
    <w:rsid w:val="001211CB"/>
    <w:rsid w:val="00122D1B"/>
    <w:rsid w:val="0012611A"/>
    <w:rsid w:val="00134EE2"/>
    <w:rsid w:val="00142E00"/>
    <w:rsid w:val="001460C6"/>
    <w:rsid w:val="00147492"/>
    <w:rsid w:val="001529E8"/>
    <w:rsid w:val="00152C02"/>
    <w:rsid w:val="00152E96"/>
    <w:rsid w:val="00153000"/>
    <w:rsid w:val="00156F3C"/>
    <w:rsid w:val="00160679"/>
    <w:rsid w:val="00161013"/>
    <w:rsid w:val="00161F6C"/>
    <w:rsid w:val="00170D7C"/>
    <w:rsid w:val="00173323"/>
    <w:rsid w:val="0017751C"/>
    <w:rsid w:val="00177D6A"/>
    <w:rsid w:val="00180897"/>
    <w:rsid w:val="00182913"/>
    <w:rsid w:val="001834DE"/>
    <w:rsid w:val="00190A1A"/>
    <w:rsid w:val="00191588"/>
    <w:rsid w:val="0019510D"/>
    <w:rsid w:val="001A0D50"/>
    <w:rsid w:val="001A1663"/>
    <w:rsid w:val="001A20A4"/>
    <w:rsid w:val="001A3242"/>
    <w:rsid w:val="001A324E"/>
    <w:rsid w:val="001B1086"/>
    <w:rsid w:val="001B187F"/>
    <w:rsid w:val="001B594B"/>
    <w:rsid w:val="001C6B0C"/>
    <w:rsid w:val="001C6F20"/>
    <w:rsid w:val="001D12BF"/>
    <w:rsid w:val="001D3EE6"/>
    <w:rsid w:val="001D5870"/>
    <w:rsid w:val="001E0702"/>
    <w:rsid w:val="001E1DCD"/>
    <w:rsid w:val="001E33DE"/>
    <w:rsid w:val="001E3C17"/>
    <w:rsid w:val="001E5643"/>
    <w:rsid w:val="001E5756"/>
    <w:rsid w:val="001F1526"/>
    <w:rsid w:val="001F163F"/>
    <w:rsid w:val="001F28B7"/>
    <w:rsid w:val="002008D8"/>
    <w:rsid w:val="00203ECE"/>
    <w:rsid w:val="002124C8"/>
    <w:rsid w:val="00212C86"/>
    <w:rsid w:val="00213BCD"/>
    <w:rsid w:val="00213BFD"/>
    <w:rsid w:val="00214C56"/>
    <w:rsid w:val="00215B4C"/>
    <w:rsid w:val="00216577"/>
    <w:rsid w:val="002167B9"/>
    <w:rsid w:val="002207B3"/>
    <w:rsid w:val="00221EAA"/>
    <w:rsid w:val="0022301C"/>
    <w:rsid w:val="002243D0"/>
    <w:rsid w:val="00224B0A"/>
    <w:rsid w:val="002317CC"/>
    <w:rsid w:val="0023221F"/>
    <w:rsid w:val="002345CC"/>
    <w:rsid w:val="002359D4"/>
    <w:rsid w:val="00240F05"/>
    <w:rsid w:val="00244167"/>
    <w:rsid w:val="002441AC"/>
    <w:rsid w:val="002453FE"/>
    <w:rsid w:val="00245669"/>
    <w:rsid w:val="00246BA1"/>
    <w:rsid w:val="002502E1"/>
    <w:rsid w:val="0025068D"/>
    <w:rsid w:val="002507DB"/>
    <w:rsid w:val="00252F8F"/>
    <w:rsid w:val="00254596"/>
    <w:rsid w:val="00255308"/>
    <w:rsid w:val="002571D9"/>
    <w:rsid w:val="00257617"/>
    <w:rsid w:val="0025778C"/>
    <w:rsid w:val="002601BD"/>
    <w:rsid w:val="002621F5"/>
    <w:rsid w:val="002626F3"/>
    <w:rsid w:val="00262F77"/>
    <w:rsid w:val="002632E7"/>
    <w:rsid w:val="00264C81"/>
    <w:rsid w:val="00265DBE"/>
    <w:rsid w:val="00265F35"/>
    <w:rsid w:val="00266B99"/>
    <w:rsid w:val="00271428"/>
    <w:rsid w:val="00273310"/>
    <w:rsid w:val="002803BE"/>
    <w:rsid w:val="002861BA"/>
    <w:rsid w:val="002968CB"/>
    <w:rsid w:val="002A05C1"/>
    <w:rsid w:val="002A44C6"/>
    <w:rsid w:val="002A549E"/>
    <w:rsid w:val="002A6644"/>
    <w:rsid w:val="002B0F8F"/>
    <w:rsid w:val="002B1CD4"/>
    <w:rsid w:val="002B4CEA"/>
    <w:rsid w:val="002B6A15"/>
    <w:rsid w:val="002C5FF8"/>
    <w:rsid w:val="002D09F3"/>
    <w:rsid w:val="002D3A4B"/>
    <w:rsid w:val="002D7A4C"/>
    <w:rsid w:val="002E6B09"/>
    <w:rsid w:val="002E78BC"/>
    <w:rsid w:val="002F1A5F"/>
    <w:rsid w:val="002F28BB"/>
    <w:rsid w:val="002F317C"/>
    <w:rsid w:val="002F4DC2"/>
    <w:rsid w:val="002F504F"/>
    <w:rsid w:val="002F5B5D"/>
    <w:rsid w:val="002F76CE"/>
    <w:rsid w:val="00306E8C"/>
    <w:rsid w:val="00312F74"/>
    <w:rsid w:val="003178EE"/>
    <w:rsid w:val="00324705"/>
    <w:rsid w:val="00330234"/>
    <w:rsid w:val="003347DA"/>
    <w:rsid w:val="00340812"/>
    <w:rsid w:val="0034098B"/>
    <w:rsid w:val="0034307C"/>
    <w:rsid w:val="00343A61"/>
    <w:rsid w:val="00350B8E"/>
    <w:rsid w:val="0035258B"/>
    <w:rsid w:val="003566C6"/>
    <w:rsid w:val="003623D9"/>
    <w:rsid w:val="00362DD5"/>
    <w:rsid w:val="003643F5"/>
    <w:rsid w:val="00364EC6"/>
    <w:rsid w:val="00366626"/>
    <w:rsid w:val="00366B84"/>
    <w:rsid w:val="003673BF"/>
    <w:rsid w:val="003726C0"/>
    <w:rsid w:val="003750AD"/>
    <w:rsid w:val="0037551D"/>
    <w:rsid w:val="003807AB"/>
    <w:rsid w:val="0038304A"/>
    <w:rsid w:val="00390281"/>
    <w:rsid w:val="003A03E2"/>
    <w:rsid w:val="003A3CBD"/>
    <w:rsid w:val="003A466B"/>
    <w:rsid w:val="003A5B21"/>
    <w:rsid w:val="003A6906"/>
    <w:rsid w:val="003B357B"/>
    <w:rsid w:val="003B5F12"/>
    <w:rsid w:val="003C0D70"/>
    <w:rsid w:val="003C1853"/>
    <w:rsid w:val="003C2954"/>
    <w:rsid w:val="003C50B4"/>
    <w:rsid w:val="003C55BE"/>
    <w:rsid w:val="003C59C2"/>
    <w:rsid w:val="003E13FC"/>
    <w:rsid w:val="003E19ED"/>
    <w:rsid w:val="003E1BBE"/>
    <w:rsid w:val="003E3A1E"/>
    <w:rsid w:val="003E3FAC"/>
    <w:rsid w:val="003F131F"/>
    <w:rsid w:val="003F4830"/>
    <w:rsid w:val="003F5C06"/>
    <w:rsid w:val="00404088"/>
    <w:rsid w:val="00404C90"/>
    <w:rsid w:val="004050BB"/>
    <w:rsid w:val="00414207"/>
    <w:rsid w:val="004144C7"/>
    <w:rsid w:val="00416FC1"/>
    <w:rsid w:val="00420309"/>
    <w:rsid w:val="00420959"/>
    <w:rsid w:val="00420A99"/>
    <w:rsid w:val="00420FFD"/>
    <w:rsid w:val="004218EF"/>
    <w:rsid w:val="00426921"/>
    <w:rsid w:val="00427825"/>
    <w:rsid w:val="00432DF3"/>
    <w:rsid w:val="00432E9C"/>
    <w:rsid w:val="00435EEE"/>
    <w:rsid w:val="00440FF9"/>
    <w:rsid w:val="004410ED"/>
    <w:rsid w:val="00442E2A"/>
    <w:rsid w:val="004444DA"/>
    <w:rsid w:val="00446DC1"/>
    <w:rsid w:val="00450A64"/>
    <w:rsid w:val="00451F77"/>
    <w:rsid w:val="00452357"/>
    <w:rsid w:val="00452A9F"/>
    <w:rsid w:val="00457130"/>
    <w:rsid w:val="0045797C"/>
    <w:rsid w:val="004672F2"/>
    <w:rsid w:val="00473985"/>
    <w:rsid w:val="004742EE"/>
    <w:rsid w:val="00477DE9"/>
    <w:rsid w:val="0048147B"/>
    <w:rsid w:val="00484D3D"/>
    <w:rsid w:val="00484E90"/>
    <w:rsid w:val="004863A9"/>
    <w:rsid w:val="00490E54"/>
    <w:rsid w:val="00493048"/>
    <w:rsid w:val="004947AF"/>
    <w:rsid w:val="0049778F"/>
    <w:rsid w:val="004C1283"/>
    <w:rsid w:val="004D21B1"/>
    <w:rsid w:val="004D575B"/>
    <w:rsid w:val="004D6C06"/>
    <w:rsid w:val="004E602E"/>
    <w:rsid w:val="005030F4"/>
    <w:rsid w:val="005068C0"/>
    <w:rsid w:val="005118DB"/>
    <w:rsid w:val="005121C4"/>
    <w:rsid w:val="005141DF"/>
    <w:rsid w:val="00521AFD"/>
    <w:rsid w:val="00523CB6"/>
    <w:rsid w:val="0052463D"/>
    <w:rsid w:val="0052585D"/>
    <w:rsid w:val="00527395"/>
    <w:rsid w:val="00531C80"/>
    <w:rsid w:val="005326A7"/>
    <w:rsid w:val="00533905"/>
    <w:rsid w:val="005358ED"/>
    <w:rsid w:val="00536E89"/>
    <w:rsid w:val="00543287"/>
    <w:rsid w:val="00545B09"/>
    <w:rsid w:val="00550A0B"/>
    <w:rsid w:val="00555975"/>
    <w:rsid w:val="005569CF"/>
    <w:rsid w:val="0056442F"/>
    <w:rsid w:val="00564D8D"/>
    <w:rsid w:val="00570A4D"/>
    <w:rsid w:val="00577CCB"/>
    <w:rsid w:val="00580246"/>
    <w:rsid w:val="005818C1"/>
    <w:rsid w:val="005830D4"/>
    <w:rsid w:val="005919D0"/>
    <w:rsid w:val="00596CD5"/>
    <w:rsid w:val="005A166F"/>
    <w:rsid w:val="005A3B2C"/>
    <w:rsid w:val="005A55B0"/>
    <w:rsid w:val="005A6DFC"/>
    <w:rsid w:val="005A7DE4"/>
    <w:rsid w:val="005B03E6"/>
    <w:rsid w:val="005B0FAE"/>
    <w:rsid w:val="005B16F5"/>
    <w:rsid w:val="005B4132"/>
    <w:rsid w:val="005B5D12"/>
    <w:rsid w:val="005B71DB"/>
    <w:rsid w:val="005C4FCC"/>
    <w:rsid w:val="005C5735"/>
    <w:rsid w:val="005D2AEB"/>
    <w:rsid w:val="005D4E0E"/>
    <w:rsid w:val="005D784F"/>
    <w:rsid w:val="005E23D2"/>
    <w:rsid w:val="005E5CCA"/>
    <w:rsid w:val="005F0207"/>
    <w:rsid w:val="005F1F50"/>
    <w:rsid w:val="005F3E42"/>
    <w:rsid w:val="005F5D20"/>
    <w:rsid w:val="005F6424"/>
    <w:rsid w:val="005F6810"/>
    <w:rsid w:val="0060178B"/>
    <w:rsid w:val="0060296D"/>
    <w:rsid w:val="006033CB"/>
    <w:rsid w:val="006053ED"/>
    <w:rsid w:val="00613F75"/>
    <w:rsid w:val="006158FC"/>
    <w:rsid w:val="0062062F"/>
    <w:rsid w:val="0062281F"/>
    <w:rsid w:val="00623AE7"/>
    <w:rsid w:val="00626135"/>
    <w:rsid w:val="00633CE6"/>
    <w:rsid w:val="00637452"/>
    <w:rsid w:val="00637C15"/>
    <w:rsid w:val="00642D71"/>
    <w:rsid w:val="006455D8"/>
    <w:rsid w:val="006457D8"/>
    <w:rsid w:val="006522EF"/>
    <w:rsid w:val="00660447"/>
    <w:rsid w:val="00660D77"/>
    <w:rsid w:val="00664686"/>
    <w:rsid w:val="00671BCC"/>
    <w:rsid w:val="00677FDF"/>
    <w:rsid w:val="006803D7"/>
    <w:rsid w:val="006804D3"/>
    <w:rsid w:val="006809B6"/>
    <w:rsid w:val="00682C16"/>
    <w:rsid w:val="0068672B"/>
    <w:rsid w:val="006924AB"/>
    <w:rsid w:val="006929C3"/>
    <w:rsid w:val="00694D3D"/>
    <w:rsid w:val="0069638D"/>
    <w:rsid w:val="006974FE"/>
    <w:rsid w:val="006A1222"/>
    <w:rsid w:val="006A143D"/>
    <w:rsid w:val="006A3362"/>
    <w:rsid w:val="006A6E6C"/>
    <w:rsid w:val="006B32EB"/>
    <w:rsid w:val="006B598C"/>
    <w:rsid w:val="006B72BA"/>
    <w:rsid w:val="006C14A4"/>
    <w:rsid w:val="006C2CE9"/>
    <w:rsid w:val="006C4B4D"/>
    <w:rsid w:val="006C6F75"/>
    <w:rsid w:val="006C74D2"/>
    <w:rsid w:val="006D564D"/>
    <w:rsid w:val="006D58AF"/>
    <w:rsid w:val="006D68B8"/>
    <w:rsid w:val="006D78BD"/>
    <w:rsid w:val="006E1BAE"/>
    <w:rsid w:val="006E3714"/>
    <w:rsid w:val="006E4661"/>
    <w:rsid w:val="006E7DE0"/>
    <w:rsid w:val="006F1D87"/>
    <w:rsid w:val="006F1F2D"/>
    <w:rsid w:val="006F7BA8"/>
    <w:rsid w:val="00702954"/>
    <w:rsid w:val="00704F66"/>
    <w:rsid w:val="00706460"/>
    <w:rsid w:val="007066A7"/>
    <w:rsid w:val="00707B55"/>
    <w:rsid w:val="00717521"/>
    <w:rsid w:val="00717567"/>
    <w:rsid w:val="0072144E"/>
    <w:rsid w:val="00722106"/>
    <w:rsid w:val="00723304"/>
    <w:rsid w:val="0072445C"/>
    <w:rsid w:val="00725062"/>
    <w:rsid w:val="0073660C"/>
    <w:rsid w:val="00740BD9"/>
    <w:rsid w:val="007419DE"/>
    <w:rsid w:val="00747FFC"/>
    <w:rsid w:val="0075062C"/>
    <w:rsid w:val="0075182E"/>
    <w:rsid w:val="007538A9"/>
    <w:rsid w:val="007550E2"/>
    <w:rsid w:val="00756788"/>
    <w:rsid w:val="00757075"/>
    <w:rsid w:val="0076238A"/>
    <w:rsid w:val="007629A9"/>
    <w:rsid w:val="0076386F"/>
    <w:rsid w:val="0076447C"/>
    <w:rsid w:val="007671BC"/>
    <w:rsid w:val="00777F42"/>
    <w:rsid w:val="00782D61"/>
    <w:rsid w:val="007901FE"/>
    <w:rsid w:val="00790F2A"/>
    <w:rsid w:val="00792682"/>
    <w:rsid w:val="007959FC"/>
    <w:rsid w:val="007A057E"/>
    <w:rsid w:val="007A2E44"/>
    <w:rsid w:val="007B1167"/>
    <w:rsid w:val="007B195B"/>
    <w:rsid w:val="007B21AA"/>
    <w:rsid w:val="007B2290"/>
    <w:rsid w:val="007B5578"/>
    <w:rsid w:val="007C0069"/>
    <w:rsid w:val="007C06AE"/>
    <w:rsid w:val="007C19E8"/>
    <w:rsid w:val="007C3555"/>
    <w:rsid w:val="007D0D7B"/>
    <w:rsid w:val="007D208E"/>
    <w:rsid w:val="007D4151"/>
    <w:rsid w:val="007D4E13"/>
    <w:rsid w:val="007E2D55"/>
    <w:rsid w:val="007E50E6"/>
    <w:rsid w:val="007F58EA"/>
    <w:rsid w:val="007F7A9C"/>
    <w:rsid w:val="00807550"/>
    <w:rsid w:val="00810B1B"/>
    <w:rsid w:val="008140F0"/>
    <w:rsid w:val="0081624E"/>
    <w:rsid w:val="00817C87"/>
    <w:rsid w:val="00820538"/>
    <w:rsid w:val="00830BC6"/>
    <w:rsid w:val="008328D4"/>
    <w:rsid w:val="00853B9B"/>
    <w:rsid w:val="00855637"/>
    <w:rsid w:val="00860935"/>
    <w:rsid w:val="00861517"/>
    <w:rsid w:val="008678F9"/>
    <w:rsid w:val="00873927"/>
    <w:rsid w:val="008748EF"/>
    <w:rsid w:val="008753ED"/>
    <w:rsid w:val="00876108"/>
    <w:rsid w:val="008778B1"/>
    <w:rsid w:val="008825F9"/>
    <w:rsid w:val="00887790"/>
    <w:rsid w:val="00890FAC"/>
    <w:rsid w:val="00892B4A"/>
    <w:rsid w:val="0089407E"/>
    <w:rsid w:val="00895530"/>
    <w:rsid w:val="00897F50"/>
    <w:rsid w:val="008A0C58"/>
    <w:rsid w:val="008A1AAC"/>
    <w:rsid w:val="008A3315"/>
    <w:rsid w:val="008A6A10"/>
    <w:rsid w:val="008B7FCD"/>
    <w:rsid w:val="008D0D45"/>
    <w:rsid w:val="008D0DEB"/>
    <w:rsid w:val="008D25CD"/>
    <w:rsid w:val="008D318A"/>
    <w:rsid w:val="008D6608"/>
    <w:rsid w:val="008D668D"/>
    <w:rsid w:val="008E1C9F"/>
    <w:rsid w:val="008E3407"/>
    <w:rsid w:val="008E7ACB"/>
    <w:rsid w:val="008F3CBC"/>
    <w:rsid w:val="009032EF"/>
    <w:rsid w:val="009050FD"/>
    <w:rsid w:val="00906BE1"/>
    <w:rsid w:val="00907B8A"/>
    <w:rsid w:val="00907EDA"/>
    <w:rsid w:val="00910205"/>
    <w:rsid w:val="00911828"/>
    <w:rsid w:val="00912E9A"/>
    <w:rsid w:val="009159AB"/>
    <w:rsid w:val="00916126"/>
    <w:rsid w:val="0091743D"/>
    <w:rsid w:val="00923AEE"/>
    <w:rsid w:val="00926F09"/>
    <w:rsid w:val="009310BB"/>
    <w:rsid w:val="00931D79"/>
    <w:rsid w:val="00935EE8"/>
    <w:rsid w:val="009373C9"/>
    <w:rsid w:val="00943D83"/>
    <w:rsid w:val="00950F1E"/>
    <w:rsid w:val="00951193"/>
    <w:rsid w:val="00953112"/>
    <w:rsid w:val="009533B5"/>
    <w:rsid w:val="00953CA8"/>
    <w:rsid w:val="0096233A"/>
    <w:rsid w:val="00964FEF"/>
    <w:rsid w:val="00970AA2"/>
    <w:rsid w:val="0097522F"/>
    <w:rsid w:val="0097569A"/>
    <w:rsid w:val="00975766"/>
    <w:rsid w:val="00976263"/>
    <w:rsid w:val="00976694"/>
    <w:rsid w:val="0097693F"/>
    <w:rsid w:val="009805B4"/>
    <w:rsid w:val="00980CAB"/>
    <w:rsid w:val="0098248F"/>
    <w:rsid w:val="009908A1"/>
    <w:rsid w:val="0099302C"/>
    <w:rsid w:val="009A25E4"/>
    <w:rsid w:val="009A2F61"/>
    <w:rsid w:val="009A3781"/>
    <w:rsid w:val="009A4B88"/>
    <w:rsid w:val="009A503E"/>
    <w:rsid w:val="009A6CB1"/>
    <w:rsid w:val="009B0F91"/>
    <w:rsid w:val="009B6115"/>
    <w:rsid w:val="009C060B"/>
    <w:rsid w:val="009D2395"/>
    <w:rsid w:val="009E123E"/>
    <w:rsid w:val="009E37D0"/>
    <w:rsid w:val="009E6C64"/>
    <w:rsid w:val="009E7078"/>
    <w:rsid w:val="009F765D"/>
    <w:rsid w:val="00A0255F"/>
    <w:rsid w:val="00A03AE4"/>
    <w:rsid w:val="00A05BFB"/>
    <w:rsid w:val="00A05C5C"/>
    <w:rsid w:val="00A11F3A"/>
    <w:rsid w:val="00A141D6"/>
    <w:rsid w:val="00A22D98"/>
    <w:rsid w:val="00A23613"/>
    <w:rsid w:val="00A3171A"/>
    <w:rsid w:val="00A34B5B"/>
    <w:rsid w:val="00A35405"/>
    <w:rsid w:val="00A37E24"/>
    <w:rsid w:val="00A43D48"/>
    <w:rsid w:val="00A4649F"/>
    <w:rsid w:val="00A4744F"/>
    <w:rsid w:val="00A50751"/>
    <w:rsid w:val="00A50A58"/>
    <w:rsid w:val="00A50BCF"/>
    <w:rsid w:val="00A514C7"/>
    <w:rsid w:val="00A5725D"/>
    <w:rsid w:val="00A5774D"/>
    <w:rsid w:val="00A57AA4"/>
    <w:rsid w:val="00A7232A"/>
    <w:rsid w:val="00A74244"/>
    <w:rsid w:val="00A771F5"/>
    <w:rsid w:val="00A80991"/>
    <w:rsid w:val="00A84E98"/>
    <w:rsid w:val="00A906FD"/>
    <w:rsid w:val="00A929C6"/>
    <w:rsid w:val="00A933C2"/>
    <w:rsid w:val="00AA2158"/>
    <w:rsid w:val="00AA4137"/>
    <w:rsid w:val="00AB3545"/>
    <w:rsid w:val="00AB36AE"/>
    <w:rsid w:val="00AB4C74"/>
    <w:rsid w:val="00AB5AD5"/>
    <w:rsid w:val="00AC38B3"/>
    <w:rsid w:val="00AC5F05"/>
    <w:rsid w:val="00AD22E1"/>
    <w:rsid w:val="00AD52A9"/>
    <w:rsid w:val="00AD72BC"/>
    <w:rsid w:val="00AD74F2"/>
    <w:rsid w:val="00AE2B32"/>
    <w:rsid w:val="00AE6891"/>
    <w:rsid w:val="00AE792C"/>
    <w:rsid w:val="00AF148E"/>
    <w:rsid w:val="00AF2939"/>
    <w:rsid w:val="00AF319A"/>
    <w:rsid w:val="00B02935"/>
    <w:rsid w:val="00B065F4"/>
    <w:rsid w:val="00B21342"/>
    <w:rsid w:val="00B26DC9"/>
    <w:rsid w:val="00B31089"/>
    <w:rsid w:val="00B31A88"/>
    <w:rsid w:val="00B419E8"/>
    <w:rsid w:val="00B42EAB"/>
    <w:rsid w:val="00B4376C"/>
    <w:rsid w:val="00B47ECF"/>
    <w:rsid w:val="00B52FB9"/>
    <w:rsid w:val="00B54930"/>
    <w:rsid w:val="00B54B9B"/>
    <w:rsid w:val="00B63C77"/>
    <w:rsid w:val="00B641D8"/>
    <w:rsid w:val="00B64ACF"/>
    <w:rsid w:val="00B654AB"/>
    <w:rsid w:val="00B663AA"/>
    <w:rsid w:val="00B66863"/>
    <w:rsid w:val="00B71854"/>
    <w:rsid w:val="00B725F6"/>
    <w:rsid w:val="00B7337F"/>
    <w:rsid w:val="00B748B0"/>
    <w:rsid w:val="00B76CAC"/>
    <w:rsid w:val="00B82B70"/>
    <w:rsid w:val="00B83332"/>
    <w:rsid w:val="00B83C39"/>
    <w:rsid w:val="00B84700"/>
    <w:rsid w:val="00B84D91"/>
    <w:rsid w:val="00B87FD2"/>
    <w:rsid w:val="00B9029C"/>
    <w:rsid w:val="00B91EBF"/>
    <w:rsid w:val="00B93F72"/>
    <w:rsid w:val="00B94DA6"/>
    <w:rsid w:val="00B94F6E"/>
    <w:rsid w:val="00B9522D"/>
    <w:rsid w:val="00BA52D0"/>
    <w:rsid w:val="00BA759B"/>
    <w:rsid w:val="00BB0709"/>
    <w:rsid w:val="00BB14FC"/>
    <w:rsid w:val="00BB1941"/>
    <w:rsid w:val="00BB2F07"/>
    <w:rsid w:val="00BB4081"/>
    <w:rsid w:val="00BB4EFA"/>
    <w:rsid w:val="00BC062B"/>
    <w:rsid w:val="00BD3A7C"/>
    <w:rsid w:val="00BD3DD3"/>
    <w:rsid w:val="00BE3F5A"/>
    <w:rsid w:val="00BE463D"/>
    <w:rsid w:val="00BF31F9"/>
    <w:rsid w:val="00C005A0"/>
    <w:rsid w:val="00C043B0"/>
    <w:rsid w:val="00C05ACB"/>
    <w:rsid w:val="00C1577F"/>
    <w:rsid w:val="00C16017"/>
    <w:rsid w:val="00C1601D"/>
    <w:rsid w:val="00C31F2B"/>
    <w:rsid w:val="00C4221A"/>
    <w:rsid w:val="00C459F4"/>
    <w:rsid w:val="00C465F0"/>
    <w:rsid w:val="00C478BA"/>
    <w:rsid w:val="00C50101"/>
    <w:rsid w:val="00C52684"/>
    <w:rsid w:val="00C53197"/>
    <w:rsid w:val="00C53BB5"/>
    <w:rsid w:val="00C613EE"/>
    <w:rsid w:val="00C616E7"/>
    <w:rsid w:val="00C6461C"/>
    <w:rsid w:val="00C70759"/>
    <w:rsid w:val="00C72179"/>
    <w:rsid w:val="00C74C3B"/>
    <w:rsid w:val="00C7605F"/>
    <w:rsid w:val="00C77286"/>
    <w:rsid w:val="00C80FD7"/>
    <w:rsid w:val="00C81479"/>
    <w:rsid w:val="00C82C60"/>
    <w:rsid w:val="00C830EB"/>
    <w:rsid w:val="00C86602"/>
    <w:rsid w:val="00C874FB"/>
    <w:rsid w:val="00C91EB9"/>
    <w:rsid w:val="00C94C13"/>
    <w:rsid w:val="00CA1412"/>
    <w:rsid w:val="00CA4373"/>
    <w:rsid w:val="00CA7DE3"/>
    <w:rsid w:val="00CB1E27"/>
    <w:rsid w:val="00CB32C4"/>
    <w:rsid w:val="00CB66B3"/>
    <w:rsid w:val="00CB7735"/>
    <w:rsid w:val="00CC0056"/>
    <w:rsid w:val="00CC02BF"/>
    <w:rsid w:val="00CC0FE2"/>
    <w:rsid w:val="00CC32BA"/>
    <w:rsid w:val="00CD4054"/>
    <w:rsid w:val="00CD6227"/>
    <w:rsid w:val="00CD75D3"/>
    <w:rsid w:val="00CE5A83"/>
    <w:rsid w:val="00CE7771"/>
    <w:rsid w:val="00CF02CB"/>
    <w:rsid w:val="00CF1C51"/>
    <w:rsid w:val="00CF6CA9"/>
    <w:rsid w:val="00D16BA6"/>
    <w:rsid w:val="00D17016"/>
    <w:rsid w:val="00D17A3C"/>
    <w:rsid w:val="00D17DFF"/>
    <w:rsid w:val="00D17F1A"/>
    <w:rsid w:val="00D22CFF"/>
    <w:rsid w:val="00D23199"/>
    <w:rsid w:val="00D30ED1"/>
    <w:rsid w:val="00D333F6"/>
    <w:rsid w:val="00D36179"/>
    <w:rsid w:val="00D402E9"/>
    <w:rsid w:val="00D4365A"/>
    <w:rsid w:val="00D50F28"/>
    <w:rsid w:val="00D50F5E"/>
    <w:rsid w:val="00D523A8"/>
    <w:rsid w:val="00D6000E"/>
    <w:rsid w:val="00D6773E"/>
    <w:rsid w:val="00D70582"/>
    <w:rsid w:val="00D715EF"/>
    <w:rsid w:val="00D725A9"/>
    <w:rsid w:val="00D728F4"/>
    <w:rsid w:val="00D805B7"/>
    <w:rsid w:val="00D81E62"/>
    <w:rsid w:val="00D83103"/>
    <w:rsid w:val="00D832B7"/>
    <w:rsid w:val="00D83B7A"/>
    <w:rsid w:val="00D84754"/>
    <w:rsid w:val="00D904BF"/>
    <w:rsid w:val="00D9455B"/>
    <w:rsid w:val="00D96978"/>
    <w:rsid w:val="00DA1C3D"/>
    <w:rsid w:val="00DA5450"/>
    <w:rsid w:val="00DB126C"/>
    <w:rsid w:val="00DC07DA"/>
    <w:rsid w:val="00DC5D31"/>
    <w:rsid w:val="00DC6304"/>
    <w:rsid w:val="00DC684B"/>
    <w:rsid w:val="00DD7F33"/>
    <w:rsid w:val="00DE120A"/>
    <w:rsid w:val="00DE5648"/>
    <w:rsid w:val="00DE5996"/>
    <w:rsid w:val="00DF1680"/>
    <w:rsid w:val="00DF3AE2"/>
    <w:rsid w:val="00DF552F"/>
    <w:rsid w:val="00E02FF0"/>
    <w:rsid w:val="00E0311D"/>
    <w:rsid w:val="00E132C8"/>
    <w:rsid w:val="00E14461"/>
    <w:rsid w:val="00E15FF4"/>
    <w:rsid w:val="00E323A0"/>
    <w:rsid w:val="00E36596"/>
    <w:rsid w:val="00E36D31"/>
    <w:rsid w:val="00E37E4F"/>
    <w:rsid w:val="00E40D6D"/>
    <w:rsid w:val="00E54C59"/>
    <w:rsid w:val="00E563E0"/>
    <w:rsid w:val="00E568D5"/>
    <w:rsid w:val="00E60B2C"/>
    <w:rsid w:val="00E610B7"/>
    <w:rsid w:val="00E64FF2"/>
    <w:rsid w:val="00E662C5"/>
    <w:rsid w:val="00E67468"/>
    <w:rsid w:val="00E67F18"/>
    <w:rsid w:val="00E72B70"/>
    <w:rsid w:val="00E72E22"/>
    <w:rsid w:val="00E761C0"/>
    <w:rsid w:val="00E76EAD"/>
    <w:rsid w:val="00E84492"/>
    <w:rsid w:val="00E85BFF"/>
    <w:rsid w:val="00E87985"/>
    <w:rsid w:val="00E91E27"/>
    <w:rsid w:val="00EA0C10"/>
    <w:rsid w:val="00EA264C"/>
    <w:rsid w:val="00EB234E"/>
    <w:rsid w:val="00EB407B"/>
    <w:rsid w:val="00EB569D"/>
    <w:rsid w:val="00EC0FE6"/>
    <w:rsid w:val="00ED15D6"/>
    <w:rsid w:val="00ED20F8"/>
    <w:rsid w:val="00ED5556"/>
    <w:rsid w:val="00ED7175"/>
    <w:rsid w:val="00EE7C9D"/>
    <w:rsid w:val="00EF1848"/>
    <w:rsid w:val="00EF381D"/>
    <w:rsid w:val="00F01681"/>
    <w:rsid w:val="00F02692"/>
    <w:rsid w:val="00F03D62"/>
    <w:rsid w:val="00F0434E"/>
    <w:rsid w:val="00F045EF"/>
    <w:rsid w:val="00F04B2F"/>
    <w:rsid w:val="00F05A21"/>
    <w:rsid w:val="00F0675D"/>
    <w:rsid w:val="00F10A23"/>
    <w:rsid w:val="00F10AE4"/>
    <w:rsid w:val="00F12B63"/>
    <w:rsid w:val="00F21471"/>
    <w:rsid w:val="00F24B53"/>
    <w:rsid w:val="00F31ACC"/>
    <w:rsid w:val="00F360DD"/>
    <w:rsid w:val="00F404C4"/>
    <w:rsid w:val="00F40C61"/>
    <w:rsid w:val="00F40CDA"/>
    <w:rsid w:val="00F4115D"/>
    <w:rsid w:val="00F511AC"/>
    <w:rsid w:val="00F55C94"/>
    <w:rsid w:val="00F60DC9"/>
    <w:rsid w:val="00F61906"/>
    <w:rsid w:val="00F61963"/>
    <w:rsid w:val="00F655D3"/>
    <w:rsid w:val="00F667C6"/>
    <w:rsid w:val="00F67152"/>
    <w:rsid w:val="00F733B2"/>
    <w:rsid w:val="00F75CFE"/>
    <w:rsid w:val="00F77D1B"/>
    <w:rsid w:val="00F821AD"/>
    <w:rsid w:val="00F82611"/>
    <w:rsid w:val="00F829D1"/>
    <w:rsid w:val="00F83C27"/>
    <w:rsid w:val="00F841C0"/>
    <w:rsid w:val="00F85C95"/>
    <w:rsid w:val="00F862DF"/>
    <w:rsid w:val="00F86481"/>
    <w:rsid w:val="00FA32FC"/>
    <w:rsid w:val="00FA3A05"/>
    <w:rsid w:val="00FA7E09"/>
    <w:rsid w:val="00FB2118"/>
    <w:rsid w:val="00FB26AD"/>
    <w:rsid w:val="00FB28DB"/>
    <w:rsid w:val="00FC12D5"/>
    <w:rsid w:val="00FC5F60"/>
    <w:rsid w:val="00FC7D4F"/>
    <w:rsid w:val="00FC7F33"/>
    <w:rsid w:val="00FD4134"/>
    <w:rsid w:val="00FD65AB"/>
    <w:rsid w:val="00FD7757"/>
    <w:rsid w:val="00FD7D77"/>
    <w:rsid w:val="00FE12C7"/>
    <w:rsid w:val="00FE14F4"/>
    <w:rsid w:val="00FE5893"/>
    <w:rsid w:val="00FE6601"/>
    <w:rsid w:val="00FF1D5D"/>
    <w:rsid w:val="00FF1FB3"/>
    <w:rsid w:val="00FF2D6F"/>
    <w:rsid w:val="00FF33CD"/>
    <w:rsid w:val="00FF5A8E"/>
    <w:rsid w:val="23984FDE"/>
    <w:rsid w:val="2EC45E65"/>
    <w:rsid w:val="380035C6"/>
    <w:rsid w:val="46C156D7"/>
    <w:rsid w:val="5BE447A9"/>
    <w:rsid w:val="7D00763B"/>
  </w:rsids>
  <m:mathPr>
    <m:mathFont m:val="Cambria Math"/>
    <m:brkBin m:val="before"/>
    <m:brkBinSub m:val="--"/>
    <m:smallFrac m:val="1"/>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4"/>
    <w:qFormat/>
    <w:uiPriority w:val="9"/>
    <w:pPr>
      <w:spacing w:line="520" w:lineRule="exact"/>
      <w:ind w:firstLine="640" w:firstLineChars="200"/>
      <w:outlineLvl w:val="0"/>
    </w:pPr>
    <w:rPr>
      <w:rFonts w:eastAsia="黑体"/>
      <w:sz w:val="32"/>
      <w:szCs w:val="32"/>
    </w:rPr>
  </w:style>
  <w:style w:type="paragraph" w:styleId="4">
    <w:name w:val="heading 2"/>
    <w:basedOn w:val="1"/>
    <w:link w:val="39"/>
    <w:autoRedefine/>
    <w:qFormat/>
    <w:uiPriority w:val="9"/>
    <w:pPr>
      <w:spacing w:line="520" w:lineRule="exact"/>
      <w:ind w:firstLine="640" w:firstLineChars="200"/>
      <w:outlineLvl w:val="1"/>
    </w:pPr>
    <w:rPr>
      <w:rFonts w:eastAsia="楷体_GB2312"/>
      <w:sz w:val="32"/>
      <w:szCs w:val="32"/>
    </w:rPr>
  </w:style>
  <w:style w:type="paragraph" w:styleId="5">
    <w:name w:val="heading 3"/>
    <w:basedOn w:val="1"/>
    <w:next w:val="1"/>
    <w:link w:val="40"/>
    <w:autoRedefine/>
    <w:unhideWhenUsed/>
    <w:qFormat/>
    <w:uiPriority w:val="9"/>
    <w:pPr>
      <w:spacing w:line="520" w:lineRule="exact"/>
      <w:ind w:firstLine="640" w:firstLineChars="200"/>
      <w:outlineLvl w:val="2"/>
    </w:pPr>
    <w:rPr>
      <w:rFonts w:eastAsia="仿宋_GB2312"/>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 Spacing"/>
    <w:autoRedefine/>
    <w:qFormat/>
    <w:uiPriority w:val="0"/>
    <w:pPr>
      <w:adjustRightInd w:val="0"/>
      <w:snapToGrid w:val="0"/>
      <w:ind w:firstLine="640" w:firstLineChars="200"/>
      <w:jc w:val="both"/>
    </w:pPr>
    <w:rPr>
      <w:rFonts w:ascii="Times New Roman" w:hAnsi="Times New Roman" w:eastAsia="仿宋_GB2312" w:cs="Times New Roman"/>
      <w:sz w:val="32"/>
      <w:szCs w:val="32"/>
      <w:lang w:val="en-US" w:eastAsia="zh-CN" w:bidi="ar-SA"/>
    </w:rPr>
  </w:style>
  <w:style w:type="paragraph" w:styleId="6">
    <w:name w:val="annotation text"/>
    <w:basedOn w:val="1"/>
    <w:link w:val="30"/>
    <w:autoRedefine/>
    <w:unhideWhenUsed/>
    <w:qFormat/>
    <w:uiPriority w:val="99"/>
    <w:pPr>
      <w:tabs>
        <w:tab w:val="left" w:pos="7797"/>
      </w:tabs>
      <w:jc w:val="left"/>
    </w:pPr>
  </w:style>
  <w:style w:type="paragraph" w:styleId="7">
    <w:name w:val="Body Text"/>
    <w:basedOn w:val="1"/>
    <w:link w:val="24"/>
    <w:autoRedefine/>
    <w:semiHidden/>
    <w:unhideWhenUsed/>
    <w:qFormat/>
    <w:uiPriority w:val="99"/>
    <w:pPr>
      <w:spacing w:after="120"/>
    </w:pPr>
  </w:style>
  <w:style w:type="paragraph" w:styleId="8">
    <w:name w:val="Body Text Indent"/>
    <w:basedOn w:val="1"/>
    <w:link w:val="41"/>
    <w:autoRedefine/>
    <w:unhideWhenUsed/>
    <w:qFormat/>
    <w:uiPriority w:val="99"/>
    <w:pPr>
      <w:spacing w:after="120"/>
      <w:ind w:left="420" w:leftChars="200"/>
    </w:pPr>
  </w:style>
  <w:style w:type="paragraph" w:styleId="9">
    <w:name w:val="Plain Text"/>
    <w:basedOn w:val="1"/>
    <w:link w:val="29"/>
    <w:autoRedefine/>
    <w:unhideWhenUsed/>
    <w:qFormat/>
    <w:uiPriority w:val="99"/>
    <w:rPr>
      <w:rFonts w:ascii="宋体" w:hAnsi="Courier New"/>
      <w:kern w:val="0"/>
      <w:sz w:val="20"/>
      <w:szCs w:val="21"/>
    </w:rPr>
  </w:style>
  <w:style w:type="paragraph" w:styleId="10">
    <w:name w:val="Date"/>
    <w:basedOn w:val="1"/>
    <w:next w:val="1"/>
    <w:link w:val="46"/>
    <w:semiHidden/>
    <w:unhideWhenUsed/>
    <w:uiPriority w:val="99"/>
    <w:pPr>
      <w:ind w:left="100" w:leftChars="2500"/>
    </w:pPr>
  </w:style>
  <w:style w:type="paragraph" w:styleId="11">
    <w:name w:val="Balloon Text"/>
    <w:basedOn w:val="1"/>
    <w:link w:val="31"/>
    <w:autoRedefine/>
    <w:semiHidden/>
    <w:unhideWhenUsed/>
    <w:qFormat/>
    <w:uiPriority w:val="99"/>
    <w:rPr>
      <w:sz w:val="18"/>
      <w:szCs w:val="18"/>
    </w:rPr>
  </w:style>
  <w:style w:type="paragraph" w:styleId="12">
    <w:name w:val="footer"/>
    <w:basedOn w:val="1"/>
    <w:link w:val="22"/>
    <w:autoRedefine/>
    <w:qFormat/>
    <w:uiPriority w:val="99"/>
    <w:pPr>
      <w:tabs>
        <w:tab w:val="center" w:pos="4153"/>
        <w:tab w:val="right" w:pos="8306"/>
      </w:tabs>
      <w:snapToGrid w:val="0"/>
      <w:jc w:val="left"/>
    </w:pPr>
    <w:rPr>
      <w:sz w:val="18"/>
    </w:rPr>
  </w:style>
  <w:style w:type="paragraph" w:styleId="13">
    <w:name w:val="header"/>
    <w:basedOn w:val="1"/>
    <w:link w:val="26"/>
    <w:autoRedefine/>
    <w:qFormat/>
    <w:uiPriority w:val="0"/>
    <w:pPr>
      <w:pBdr>
        <w:bottom w:val="single" w:color="auto" w:sz="6" w:space="1"/>
      </w:pBdr>
      <w:tabs>
        <w:tab w:val="center" w:pos="4153"/>
        <w:tab w:val="right" w:pos="8306"/>
      </w:tabs>
      <w:snapToGrid w:val="0"/>
      <w:jc w:val="center"/>
    </w:pPr>
    <w:rPr>
      <w:sz w:val="18"/>
    </w:rPr>
  </w:style>
  <w:style w:type="paragraph" w:styleId="14">
    <w:name w:val="annotation subject"/>
    <w:basedOn w:val="6"/>
    <w:next w:val="6"/>
    <w:link w:val="36"/>
    <w:semiHidden/>
    <w:unhideWhenUsed/>
    <w:qFormat/>
    <w:uiPriority w:val="99"/>
    <w:rPr>
      <w:b/>
      <w:bCs/>
    </w:rPr>
  </w:style>
  <w:style w:type="paragraph" w:styleId="15">
    <w:name w:val="Body Text First Indent"/>
    <w:basedOn w:val="7"/>
    <w:link w:val="21"/>
    <w:autoRedefine/>
    <w:qFormat/>
    <w:uiPriority w:val="0"/>
    <w:pPr>
      <w:ind w:firstLine="420" w:firstLineChars="100"/>
    </w:pPr>
    <w:rPr>
      <w:rFonts w:asciiTheme="minorHAnsi" w:hAnsiTheme="minorHAnsi" w:eastAsiaTheme="minorEastAsia" w:cstheme="minorBidi"/>
      <w:szCs w:val="22"/>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autoRedefine/>
    <w:semiHidden/>
    <w:unhideWhenUsed/>
    <w:qFormat/>
    <w:uiPriority w:val="99"/>
    <w:rPr>
      <w:color w:val="0000FF"/>
      <w:u w:val="single"/>
    </w:rPr>
  </w:style>
  <w:style w:type="character" w:styleId="20">
    <w:name w:val="annotation reference"/>
    <w:basedOn w:val="18"/>
    <w:autoRedefine/>
    <w:semiHidden/>
    <w:unhideWhenUsed/>
    <w:qFormat/>
    <w:uiPriority w:val="99"/>
    <w:rPr>
      <w:sz w:val="21"/>
      <w:szCs w:val="21"/>
    </w:rPr>
  </w:style>
  <w:style w:type="character" w:customStyle="1" w:styleId="21">
    <w:name w:val="正文文本首行缩进 字符"/>
    <w:link w:val="15"/>
    <w:autoRedefine/>
    <w:qFormat/>
    <w:uiPriority w:val="0"/>
  </w:style>
  <w:style w:type="character" w:customStyle="1" w:styleId="22">
    <w:name w:val="页脚 字符"/>
    <w:basedOn w:val="18"/>
    <w:link w:val="12"/>
    <w:autoRedefine/>
    <w:qFormat/>
    <w:uiPriority w:val="99"/>
    <w:rPr>
      <w:kern w:val="2"/>
      <w:sz w:val="18"/>
      <w:lang w:bidi="ar-SA"/>
    </w:rPr>
  </w:style>
  <w:style w:type="paragraph" w:customStyle="1" w:styleId="23">
    <w:name w:val="王奕改内文"/>
    <w:basedOn w:val="1"/>
    <w:link w:val="28"/>
    <w:autoRedefine/>
    <w:qFormat/>
    <w:uiPriority w:val="0"/>
    <w:pPr>
      <w:widowControl/>
      <w:spacing w:line="360" w:lineRule="auto"/>
      <w:ind w:firstLine="200" w:firstLineChars="200"/>
    </w:pPr>
    <w:rPr>
      <w:rFonts w:ascii="宋体" w:hAnsi="宋体"/>
      <w:color w:val="000000"/>
      <w:spacing w:val="-4"/>
      <w:sz w:val="24"/>
    </w:rPr>
  </w:style>
  <w:style w:type="character" w:customStyle="1" w:styleId="24">
    <w:name w:val="正文文本 字符"/>
    <w:basedOn w:val="18"/>
    <w:link w:val="7"/>
    <w:autoRedefine/>
    <w:semiHidden/>
    <w:qFormat/>
    <w:uiPriority w:val="99"/>
    <w:rPr>
      <w:rFonts w:ascii="Times New Roman" w:hAnsi="Times New Roman" w:eastAsia="宋体" w:cs="Times New Roman"/>
      <w:szCs w:val="20"/>
    </w:rPr>
  </w:style>
  <w:style w:type="character" w:customStyle="1" w:styleId="25">
    <w:name w:val="正文首行缩进 Char1"/>
    <w:basedOn w:val="24"/>
    <w:autoRedefine/>
    <w:semiHidden/>
    <w:qFormat/>
    <w:uiPriority w:val="99"/>
    <w:rPr>
      <w:rFonts w:ascii="Times New Roman" w:hAnsi="Times New Roman" w:eastAsia="宋体" w:cs="Times New Roman"/>
      <w:szCs w:val="20"/>
    </w:rPr>
  </w:style>
  <w:style w:type="character" w:customStyle="1" w:styleId="26">
    <w:name w:val="页眉 字符"/>
    <w:basedOn w:val="18"/>
    <w:link w:val="13"/>
    <w:autoRedefine/>
    <w:qFormat/>
    <w:uiPriority w:val="0"/>
    <w:rPr>
      <w:rFonts w:ascii="Times New Roman" w:hAnsi="Times New Roman" w:eastAsia="宋体" w:cs="Times New Roman"/>
      <w:sz w:val="18"/>
      <w:szCs w:val="20"/>
    </w:rPr>
  </w:style>
  <w:style w:type="paragraph" w:styleId="27">
    <w:name w:val="List Paragraph"/>
    <w:basedOn w:val="1"/>
    <w:autoRedefine/>
    <w:qFormat/>
    <w:uiPriority w:val="34"/>
    <w:pPr>
      <w:numPr>
        <w:ilvl w:val="0"/>
        <w:numId w:val="1"/>
      </w:numPr>
      <w:spacing w:line="520" w:lineRule="exact"/>
    </w:pPr>
  </w:style>
  <w:style w:type="character" w:customStyle="1" w:styleId="28">
    <w:name w:val="王奕改内文 Char"/>
    <w:link w:val="23"/>
    <w:autoRedefine/>
    <w:qFormat/>
    <w:uiPriority w:val="0"/>
    <w:rPr>
      <w:rFonts w:ascii="宋体" w:hAnsi="宋体" w:eastAsia="宋体" w:cs="Times New Roman"/>
      <w:color w:val="000000"/>
      <w:spacing w:val="-4"/>
      <w:sz w:val="24"/>
      <w:szCs w:val="20"/>
    </w:rPr>
  </w:style>
  <w:style w:type="character" w:customStyle="1" w:styleId="29">
    <w:name w:val="纯文本 字符"/>
    <w:basedOn w:val="18"/>
    <w:link w:val="9"/>
    <w:autoRedefine/>
    <w:qFormat/>
    <w:uiPriority w:val="99"/>
    <w:rPr>
      <w:rFonts w:ascii="宋体" w:hAnsi="Courier New" w:eastAsia="宋体" w:cs="Times New Roman"/>
      <w:kern w:val="0"/>
      <w:sz w:val="20"/>
      <w:szCs w:val="21"/>
    </w:rPr>
  </w:style>
  <w:style w:type="character" w:customStyle="1" w:styleId="30">
    <w:name w:val="批注文字 字符"/>
    <w:basedOn w:val="18"/>
    <w:link w:val="6"/>
    <w:autoRedefine/>
    <w:qFormat/>
    <w:uiPriority w:val="99"/>
    <w:rPr>
      <w:rFonts w:ascii="Times New Roman" w:hAnsi="Times New Roman" w:eastAsia="宋体" w:cs="Times New Roman"/>
      <w:kern w:val="2"/>
      <w:sz w:val="21"/>
    </w:rPr>
  </w:style>
  <w:style w:type="character" w:customStyle="1" w:styleId="31">
    <w:name w:val="批注框文本 字符"/>
    <w:basedOn w:val="18"/>
    <w:link w:val="11"/>
    <w:autoRedefine/>
    <w:semiHidden/>
    <w:qFormat/>
    <w:uiPriority w:val="99"/>
    <w:rPr>
      <w:rFonts w:ascii="Times New Roman" w:hAnsi="Times New Roman" w:eastAsia="宋体" w:cs="Times New Roman"/>
      <w:sz w:val="18"/>
      <w:szCs w:val="18"/>
    </w:rPr>
  </w:style>
  <w:style w:type="character" w:customStyle="1" w:styleId="32">
    <w:name w:val="A4"/>
    <w:unhideWhenUsed/>
    <w:qFormat/>
    <w:uiPriority w:val="99"/>
    <w:rPr>
      <w:rFonts w:hint="eastAsia"/>
      <w:color w:val="211D1E"/>
      <w:sz w:val="16"/>
    </w:rPr>
  </w:style>
  <w:style w:type="paragraph" w:customStyle="1" w:styleId="33">
    <w:name w:val="Default"/>
    <w:autoRedefine/>
    <w:qFormat/>
    <w:uiPriority w:val="0"/>
    <w:pPr>
      <w:widowControl w:val="0"/>
      <w:autoSpaceDE w:val="0"/>
      <w:autoSpaceDN w:val="0"/>
      <w:adjustRightInd w:val="0"/>
    </w:pPr>
    <w:rPr>
      <w:rFonts w:ascii="MHeiGB" w:eastAsia="MHeiGB" w:cs="MHeiGB" w:hAnsiTheme="minorHAnsi"/>
      <w:color w:val="000000"/>
      <w:sz w:val="24"/>
      <w:szCs w:val="24"/>
      <w:lang w:val="en-US" w:eastAsia="zh-CN" w:bidi="ar-SA"/>
    </w:rPr>
  </w:style>
  <w:style w:type="paragraph" w:customStyle="1" w:styleId="34">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35">
    <w:name w:val="纯文本 Char1"/>
    <w:qFormat/>
    <w:uiPriority w:val="0"/>
    <w:rPr>
      <w:rFonts w:ascii="宋体" w:hAnsi="Courier New" w:cs="Courier New"/>
      <w:kern w:val="2"/>
      <w:sz w:val="21"/>
      <w:szCs w:val="21"/>
    </w:rPr>
  </w:style>
  <w:style w:type="character" w:customStyle="1" w:styleId="36">
    <w:name w:val="批注主题 字符"/>
    <w:basedOn w:val="30"/>
    <w:link w:val="14"/>
    <w:autoRedefine/>
    <w:semiHidden/>
    <w:uiPriority w:val="99"/>
    <w:rPr>
      <w:rFonts w:ascii="Times New Roman" w:hAnsi="Times New Roman" w:eastAsia="宋体" w:cs="Times New Roman"/>
      <w:b/>
      <w:bCs/>
      <w:kern w:val="2"/>
      <w:sz w:val="21"/>
      <w:szCs w:val="20"/>
    </w:rPr>
  </w:style>
  <w:style w:type="character" w:customStyle="1" w:styleId="37">
    <w:name w:val="doc_title"/>
    <w:basedOn w:val="18"/>
    <w:autoRedefine/>
    <w:qFormat/>
    <w:uiPriority w:val="0"/>
  </w:style>
  <w:style w:type="paragraph" w:customStyle="1" w:styleId="38">
    <w:name w:val="_Style 32"/>
    <w:basedOn w:val="1"/>
    <w:next w:val="27"/>
    <w:qFormat/>
    <w:uiPriority w:val="34"/>
    <w:pPr>
      <w:ind w:firstLine="420" w:firstLineChars="200"/>
    </w:pPr>
    <w:rPr>
      <w:rFonts w:ascii="Calibri" w:hAnsi="Calibri"/>
      <w:szCs w:val="22"/>
    </w:rPr>
  </w:style>
  <w:style w:type="character" w:customStyle="1" w:styleId="39">
    <w:name w:val="标题 2 字符"/>
    <w:basedOn w:val="18"/>
    <w:link w:val="4"/>
    <w:autoRedefine/>
    <w:uiPriority w:val="9"/>
    <w:rPr>
      <w:rFonts w:eastAsia="楷体_GB2312"/>
      <w:kern w:val="2"/>
      <w:sz w:val="32"/>
      <w:szCs w:val="32"/>
    </w:rPr>
  </w:style>
  <w:style w:type="character" w:customStyle="1" w:styleId="40">
    <w:name w:val="标题 3 字符"/>
    <w:basedOn w:val="18"/>
    <w:link w:val="5"/>
    <w:qFormat/>
    <w:uiPriority w:val="9"/>
    <w:rPr>
      <w:rFonts w:eastAsia="仿宋_GB2312"/>
      <w:kern w:val="2"/>
      <w:sz w:val="32"/>
      <w:szCs w:val="32"/>
    </w:rPr>
  </w:style>
  <w:style w:type="character" w:customStyle="1" w:styleId="41">
    <w:name w:val="正文文本缩进 字符"/>
    <w:basedOn w:val="18"/>
    <w:link w:val="8"/>
    <w:autoRedefine/>
    <w:qFormat/>
    <w:uiPriority w:val="99"/>
    <w:rPr>
      <w:kern w:val="2"/>
      <w:sz w:val="21"/>
    </w:rPr>
  </w:style>
  <w:style w:type="character" w:customStyle="1" w:styleId="42">
    <w:name w:val="段 Char"/>
    <w:basedOn w:val="18"/>
    <w:link w:val="43"/>
    <w:locked/>
    <w:uiPriority w:val="99"/>
    <w:rPr>
      <w:rFonts w:ascii="宋体"/>
      <w:sz w:val="21"/>
    </w:rPr>
  </w:style>
  <w:style w:type="paragraph" w:customStyle="1" w:styleId="43">
    <w:name w:val="段"/>
    <w:link w:val="42"/>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4">
    <w:name w:val="标题 1 字符"/>
    <w:basedOn w:val="18"/>
    <w:link w:val="3"/>
    <w:qFormat/>
    <w:uiPriority w:val="9"/>
    <w:rPr>
      <w:rFonts w:eastAsia="黑体"/>
      <w:kern w:val="2"/>
      <w:sz w:val="32"/>
      <w:szCs w:val="32"/>
    </w:rPr>
  </w:style>
  <w:style w:type="paragraph" w:customStyle="1" w:styleId="45">
    <w:name w:val="Revision"/>
    <w:hidden/>
    <w:semiHidden/>
    <w:uiPriority w:val="99"/>
    <w:rPr>
      <w:rFonts w:ascii="Times New Roman" w:hAnsi="Times New Roman" w:eastAsia="宋体" w:cs="Times New Roman"/>
      <w:kern w:val="2"/>
      <w:sz w:val="21"/>
      <w:lang w:val="en-US" w:eastAsia="zh-CN" w:bidi="ar-SA"/>
    </w:rPr>
  </w:style>
  <w:style w:type="character" w:customStyle="1" w:styleId="46">
    <w:name w:val="日期 字符"/>
    <w:basedOn w:val="18"/>
    <w:link w:val="10"/>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customXml" Target="../customXml/item5.xml"/><Relationship Id="rId2" Type="http://schemas.openxmlformats.org/officeDocument/2006/relationships/settings" Target="settings.xml"/><Relationship Id="rId6" Type="http://schemas.openxmlformats.org/officeDocument/2006/relationships/customXml" Target="../customXml/item1.xml"/><Relationship Id="rId1" Type="http://schemas.openxmlformats.org/officeDocument/2006/relationships/styles" Target="styles.xml"/><Relationship Id="rId11" Type="http://schemas.openxmlformats.org/officeDocument/2006/relationships/customXml" Target="../customXml/item4.xml"/><Relationship Id="rId5" Type="http://schemas.openxmlformats.org/officeDocument/2006/relationships/image" Target="media/image1.png"/><Relationship Id="rId10" Type="http://schemas.openxmlformats.org/officeDocument/2006/relationships/customXml" Target="../customXml/item3.xml"/><Relationship Id="rId9" Type="http://schemas.openxmlformats.org/officeDocument/2006/relationships/fontTable" Target="fontTable.xml"/><Relationship Id="rId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EAEE64AF389F9438AD04F611D62BBEC" ma:contentTypeVersion="12" ma:contentTypeDescription="Create a new document." ma:contentTypeScope="" ma:versionID="b1f4583d976520e9ce153fe591db3a5a">
  <xsd:schema xmlns:xsd="http://www.w3.org/2001/XMLSchema" xmlns:xs="http://www.w3.org/2001/XMLSchema" xmlns:p="http://schemas.microsoft.com/office/2006/metadata/properties" xmlns:ns2="58363b21-2bff-4b5a-b524-a3130b0e76f7" xmlns:ns3="28a58249-56d6-4cfb-9d89-b042c4b82e39" targetNamespace="http://schemas.microsoft.com/office/2006/metadata/properties" ma:root="true" ma:fieldsID="420ffb22649204fd9af5e9d68a562e4e" ns2:_="" ns3:_="">
    <xsd:import namespace="58363b21-2bff-4b5a-b524-a3130b0e76f7"/>
    <xsd:import namespace="28a58249-56d6-4cfb-9d89-b042c4b82e39"/>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ServiceSearchPropertie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63b21-2bff-4b5a-b524-a3130b0e76f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a58249-56d6-4cfb-9d89-b042c4b82e3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5C03C2-E500-4235-87FA-85153EAC2FE3}">
  <ds:schemaRefs/>
</ds:datastoreItem>
</file>

<file path=customXml/itemProps3.xml><?xml version="1.0" encoding="utf-8"?>
<ds:datastoreItem xmlns:ds="http://schemas.openxmlformats.org/officeDocument/2006/customXml" ds:itemID="{BA291368-C82D-40C6-A78F-25169072EA1E}"/>
</file>

<file path=customXml/itemProps4.xml><?xml version="1.0" encoding="utf-8"?>
<ds:datastoreItem xmlns:ds="http://schemas.openxmlformats.org/officeDocument/2006/customXml" ds:itemID="{EF216999-E078-48F9-B903-4B599BE03C0F}"/>
</file>

<file path=customXml/itemProps5.xml><?xml version="1.0" encoding="utf-8"?>
<ds:datastoreItem xmlns:ds="http://schemas.openxmlformats.org/officeDocument/2006/customXml" ds:itemID="{5210C8E1-3509-4DCA-9DB9-72EA48B76A25}"/>
</file>

<file path=docProps/app.xml><?xml version="1.0" encoding="utf-8"?>
<Properties xmlns="http://schemas.openxmlformats.org/officeDocument/2006/extended-properties" xmlns:vt="http://schemas.openxmlformats.org/officeDocument/2006/docPropsVTypes">
  <Template>Normal.dotm</Template>
  <Company>www.window7.com</Company>
  <Pages>20</Pages>
  <Words>9484</Words>
  <Characters>9962</Characters>
  <Lines>72</Lines>
  <Paragraphs>20</Paragraphs>
  <TotalTime>1457</TotalTime>
  <ScaleCrop>false</ScaleCrop>
  <LinksUpToDate>false</LinksUpToDate>
  <CharactersWithSpaces>10004</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储云高</dc:creator>
  <cp:lastModifiedBy>高田</cp:lastModifiedBy>
  <cp:revision>37</cp:revision>
  <cp:lastPrinted>2024-05-20T01:36:00Z</cp:lastPrinted>
  <dcterms:created xsi:type="dcterms:W3CDTF">2024-03-24T08:41:00Z</dcterms:created>
  <dcterms:modified xsi:type="dcterms:W3CDTF">2024-10-28T01:32:37Z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C0017B7DC0334AE79AB7019F8F5C9914_12</vt:lpwstr>
  </property>
  <property fmtid="{D5CDD505-2E9C-101B-9397-08002B2CF9AE}" pid="4" name="ContentTypeId">
    <vt:lpwstr>0x0101001EAEE64AF389F9438AD04F611D62BBEC</vt:lpwstr>
  </property>
</Properties>
</file>