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AD608">
      <w:pPr>
        <w:spacing w:line="520" w:lineRule="exact"/>
        <w:ind w:right="-67" w:rightChars="-32"/>
        <w:jc w:val="center"/>
        <w:rPr>
          <w:rFonts w:eastAsia="方正小标宋简体"/>
          <w:color w:val="000000"/>
          <w:sz w:val="44"/>
          <w:szCs w:val="44"/>
        </w:rPr>
      </w:pPr>
      <w:r>
        <w:rPr>
          <w:rFonts w:eastAsia="方正小标宋简体"/>
          <w:color w:val="000000"/>
          <w:sz w:val="44"/>
          <w:szCs w:val="44"/>
        </w:rPr>
        <w:t>医用中心</w:t>
      </w:r>
      <w:r>
        <w:rPr>
          <w:rFonts w:hint="eastAsia" w:eastAsia="方正小标宋简体"/>
          <w:color w:val="000000"/>
          <w:sz w:val="44"/>
          <w:szCs w:val="44"/>
        </w:rPr>
        <w:t>吸引</w:t>
      </w:r>
      <w:r>
        <w:rPr>
          <w:rFonts w:eastAsia="方正小标宋简体"/>
          <w:color w:val="000000"/>
          <w:sz w:val="44"/>
          <w:szCs w:val="44"/>
        </w:rPr>
        <w:t>系统注册</w:t>
      </w:r>
      <w:bookmarkStart w:id="0" w:name="_GoBack"/>
      <w:bookmarkEnd w:id="0"/>
      <w:r>
        <w:rPr>
          <w:rFonts w:eastAsia="方正小标宋简体"/>
          <w:color w:val="000000"/>
          <w:sz w:val="44"/>
          <w:szCs w:val="44"/>
        </w:rPr>
        <w:t>审查指导原则</w:t>
      </w:r>
    </w:p>
    <w:p w14:paraId="67E8DACD">
      <w:pPr>
        <w:spacing w:line="520" w:lineRule="exact"/>
        <w:ind w:right="-67" w:rightChars="-32"/>
        <w:jc w:val="center"/>
        <w:rPr>
          <w:rFonts w:eastAsia="方正小标宋简体"/>
          <w:sz w:val="44"/>
          <w:szCs w:val="44"/>
        </w:rPr>
      </w:pPr>
      <w:r>
        <w:rPr>
          <w:rFonts w:hint="eastAsia" w:eastAsia="方正小标宋简体"/>
          <w:color w:val="000000"/>
          <w:sz w:val="44"/>
          <w:szCs w:val="44"/>
        </w:rPr>
        <w:t>（征求意见稿）</w:t>
      </w:r>
    </w:p>
    <w:p w14:paraId="6EAAE16F">
      <w:pPr>
        <w:spacing w:line="520" w:lineRule="exact"/>
        <w:ind w:right="-67" w:rightChars="-32"/>
        <w:jc w:val="center"/>
        <w:rPr>
          <w:rFonts w:eastAsia="方正小标宋简体"/>
          <w:color w:val="000000"/>
          <w:sz w:val="32"/>
          <w:szCs w:val="44"/>
        </w:rPr>
      </w:pPr>
    </w:p>
    <w:p w14:paraId="63B8CE9B">
      <w:pPr>
        <w:spacing w:line="520" w:lineRule="exact"/>
        <w:ind w:firstLine="640" w:firstLineChars="200"/>
        <w:rPr>
          <w:rFonts w:eastAsia="仿宋_GB2312"/>
          <w:sz w:val="32"/>
          <w:szCs w:val="28"/>
        </w:rPr>
      </w:pPr>
      <w:r>
        <w:rPr>
          <w:rFonts w:eastAsia="仿宋_GB2312"/>
          <w:sz w:val="32"/>
          <w:szCs w:val="28"/>
        </w:rPr>
        <w:t>本指导原则旨在指导注册申请人对医用中心吸引系统注册申报资料的准备及撰写，同时也为技术审评部门提供参考。</w:t>
      </w:r>
    </w:p>
    <w:p w14:paraId="0C412933">
      <w:pPr>
        <w:spacing w:line="520" w:lineRule="exact"/>
        <w:ind w:firstLine="640" w:firstLineChars="200"/>
        <w:rPr>
          <w:rFonts w:eastAsia="仿宋_GB2312"/>
          <w:sz w:val="32"/>
          <w:szCs w:val="28"/>
        </w:rPr>
      </w:pPr>
      <w:r>
        <w:rPr>
          <w:rFonts w:eastAsia="仿宋_GB2312"/>
          <w:sz w:val="32"/>
          <w:szCs w:val="28"/>
        </w:rPr>
        <w:t>本指导原则是对医用中心吸引系统的一般要求，注册申请人应依据产品的具体特性确定其中内容是否适用。若不适用，需具体阐述理由及相应的科学依据，并依据产品的具体特性对注册申报资料的内容进行充实和细化。</w:t>
      </w:r>
    </w:p>
    <w:p w14:paraId="04702B56">
      <w:pPr>
        <w:spacing w:line="520" w:lineRule="exact"/>
        <w:ind w:firstLine="640" w:firstLineChars="200"/>
        <w:rPr>
          <w:rFonts w:eastAsia="仿宋_GB2312"/>
          <w:sz w:val="32"/>
          <w:szCs w:val="28"/>
        </w:rPr>
      </w:pPr>
      <w:r>
        <w:rPr>
          <w:rFonts w:eastAsia="仿宋_GB2312"/>
          <w:sz w:val="32"/>
          <w:szCs w:val="28"/>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14:paraId="19F4916B">
      <w:pPr>
        <w:spacing w:line="520" w:lineRule="exact"/>
        <w:ind w:firstLine="640" w:firstLineChars="200"/>
        <w:rPr>
          <w:rFonts w:eastAsia="仿宋_GB2312"/>
          <w:sz w:val="32"/>
          <w:szCs w:val="28"/>
        </w:rPr>
      </w:pPr>
      <w:r>
        <w:rPr>
          <w:rFonts w:eastAsia="仿宋_GB2312"/>
          <w:sz w:val="32"/>
          <w:szCs w:val="28"/>
        </w:rPr>
        <w:t>本指导原则是在现行法规和标准体系以及当前认知水平下制定，随着法规和标准的不断完善，以及科学技术的不断发展，相关内容也将适时进行调整。</w:t>
      </w:r>
    </w:p>
    <w:p w14:paraId="246A7637">
      <w:pPr>
        <w:spacing w:line="520" w:lineRule="exact"/>
        <w:ind w:firstLine="633" w:firstLineChars="198"/>
        <w:outlineLvl w:val="1"/>
        <w:rPr>
          <w:rFonts w:eastAsia="黑体"/>
          <w:color w:val="000000"/>
          <w:sz w:val="32"/>
          <w:szCs w:val="32"/>
        </w:rPr>
      </w:pPr>
      <w:r>
        <w:rPr>
          <w:rFonts w:eastAsia="黑体"/>
          <w:color w:val="000000"/>
          <w:sz w:val="32"/>
          <w:szCs w:val="32"/>
        </w:rPr>
        <w:t>一、适用范围</w:t>
      </w:r>
    </w:p>
    <w:p w14:paraId="75D700AF">
      <w:pPr>
        <w:tabs>
          <w:tab w:val="left" w:pos="142"/>
        </w:tabs>
        <w:spacing w:line="520" w:lineRule="exact"/>
        <w:ind w:firstLine="640" w:firstLineChars="200"/>
        <w:rPr>
          <w:rFonts w:eastAsia="仿宋_GB2312"/>
          <w:color w:val="000000"/>
          <w:sz w:val="32"/>
          <w:szCs w:val="32"/>
        </w:rPr>
      </w:pPr>
      <w:r>
        <w:rPr>
          <w:rFonts w:eastAsia="仿宋_GB2312"/>
          <w:color w:val="000000"/>
          <w:sz w:val="32"/>
          <w:szCs w:val="32"/>
        </w:rPr>
        <w:t>本指导原则适用于医用中心吸引系统。医用中心吸引系统在《医疗器械分类目录》中，管理类别为第</w:t>
      </w:r>
      <w:r>
        <w:rPr>
          <w:rFonts w:hint="eastAsia" w:eastAsia="仿宋_GB2312"/>
          <w:color w:val="000000"/>
          <w:sz w:val="32"/>
          <w:szCs w:val="32"/>
        </w:rPr>
        <w:t>Ⅱ</w:t>
      </w:r>
      <w:r>
        <w:rPr>
          <w:rFonts w:eastAsia="仿宋_GB2312"/>
          <w:color w:val="000000"/>
          <w:sz w:val="32"/>
          <w:szCs w:val="32"/>
        </w:rPr>
        <w:t>类，产品分类编码为</w:t>
      </w:r>
      <w:r>
        <w:rPr>
          <w:rFonts w:hint="eastAsia" w:eastAsia="仿宋_GB2312"/>
          <w:color w:val="000000"/>
          <w:sz w:val="32"/>
          <w:szCs w:val="32"/>
        </w:rPr>
        <w:t>14</w:t>
      </w:r>
      <w:r>
        <w:rPr>
          <w:rFonts w:eastAsia="仿宋_GB2312"/>
          <w:color w:val="000000"/>
          <w:sz w:val="32"/>
          <w:szCs w:val="32"/>
        </w:rPr>
        <w:t>-0</w:t>
      </w:r>
      <w:r>
        <w:rPr>
          <w:rFonts w:hint="eastAsia" w:eastAsia="仿宋_GB2312"/>
          <w:color w:val="000000"/>
          <w:sz w:val="32"/>
          <w:szCs w:val="32"/>
        </w:rPr>
        <w:t>6</w:t>
      </w:r>
      <w:r>
        <w:rPr>
          <w:rFonts w:eastAsia="仿宋_GB2312"/>
          <w:color w:val="000000"/>
          <w:sz w:val="32"/>
          <w:szCs w:val="32"/>
        </w:rPr>
        <w:t>-</w:t>
      </w:r>
      <w:r>
        <w:rPr>
          <w:rFonts w:hint="eastAsia" w:eastAsia="仿宋_GB2312"/>
          <w:color w:val="000000"/>
          <w:sz w:val="32"/>
          <w:szCs w:val="32"/>
        </w:rPr>
        <w:t>10。</w:t>
      </w:r>
    </w:p>
    <w:p w14:paraId="56A8858D">
      <w:pPr>
        <w:spacing w:line="520" w:lineRule="exact"/>
        <w:ind w:firstLine="633" w:firstLineChars="198"/>
        <w:outlineLvl w:val="1"/>
        <w:rPr>
          <w:rFonts w:eastAsia="黑体"/>
          <w:color w:val="000000"/>
          <w:sz w:val="32"/>
          <w:szCs w:val="32"/>
        </w:rPr>
      </w:pPr>
      <w:r>
        <w:rPr>
          <w:rFonts w:eastAsia="黑体"/>
          <w:color w:val="000000"/>
          <w:sz w:val="32"/>
          <w:szCs w:val="32"/>
        </w:rPr>
        <w:t>二、注册审查要点</w:t>
      </w:r>
    </w:p>
    <w:p w14:paraId="2D7614F2">
      <w:pPr>
        <w:spacing w:line="520" w:lineRule="exact"/>
        <w:ind w:firstLine="640" w:firstLineChars="200"/>
        <w:outlineLvl w:val="1"/>
        <w:rPr>
          <w:rFonts w:eastAsia="楷体_GB2312"/>
          <w:bCs/>
          <w:iCs/>
          <w:sz w:val="32"/>
          <w:szCs w:val="28"/>
        </w:rPr>
      </w:pPr>
      <w:r>
        <w:rPr>
          <w:rFonts w:eastAsia="楷体_GB2312"/>
          <w:bCs/>
          <w:iCs/>
          <w:sz w:val="32"/>
          <w:szCs w:val="28"/>
        </w:rPr>
        <w:t>（一）监管信息</w:t>
      </w:r>
    </w:p>
    <w:p w14:paraId="6C652DF8">
      <w:pPr>
        <w:spacing w:line="520" w:lineRule="exact"/>
        <w:ind w:firstLine="640" w:firstLineChars="200"/>
        <w:outlineLvl w:val="1"/>
        <w:rPr>
          <w:rFonts w:eastAsia="楷体_GB2312"/>
          <w:bCs/>
          <w:iCs/>
          <w:sz w:val="32"/>
          <w:szCs w:val="28"/>
        </w:rPr>
      </w:pPr>
      <w:r>
        <w:rPr>
          <w:rFonts w:eastAsia="楷体_GB2312"/>
          <w:bCs/>
          <w:iCs/>
          <w:sz w:val="32"/>
          <w:szCs w:val="28"/>
        </w:rPr>
        <w:t>1.</w:t>
      </w:r>
      <w:r>
        <w:rPr>
          <w:rFonts w:eastAsia="仿宋_GB2312"/>
          <w:sz w:val="32"/>
          <w:szCs w:val="32"/>
        </w:rPr>
        <w:t>产品名称</w:t>
      </w:r>
    </w:p>
    <w:p w14:paraId="1268EB0B">
      <w:pPr>
        <w:spacing w:line="520" w:lineRule="exact"/>
        <w:ind w:firstLine="640" w:firstLineChars="200"/>
        <w:rPr>
          <w:rFonts w:eastAsia="仿宋_GB2312"/>
          <w:spacing w:val="2"/>
          <w:sz w:val="32"/>
          <w:szCs w:val="32"/>
        </w:rPr>
      </w:pPr>
      <w:r>
        <w:rPr>
          <w:rFonts w:eastAsia="仿宋_GB2312"/>
          <w:sz w:val="32"/>
          <w:szCs w:val="32"/>
        </w:rPr>
        <w:t>产品名称应符合《医疗器械通用名称命名规则》的要求，建议使用医疗器械分类目录和国家标准、行业标准上的通用名称。</w:t>
      </w:r>
    </w:p>
    <w:p w14:paraId="778DFFE7">
      <w:pPr>
        <w:spacing w:line="520" w:lineRule="exact"/>
        <w:ind w:firstLine="640" w:firstLineChars="200"/>
        <w:rPr>
          <w:rFonts w:eastAsia="仿宋_GB2312"/>
          <w:sz w:val="32"/>
          <w:szCs w:val="32"/>
        </w:rPr>
      </w:pPr>
      <w:r>
        <w:rPr>
          <w:rFonts w:eastAsia="仿宋_GB2312"/>
          <w:sz w:val="32"/>
          <w:szCs w:val="32"/>
        </w:rPr>
        <w:t>产品名称示例：医用中心吸引系统。</w:t>
      </w:r>
    </w:p>
    <w:p w14:paraId="34D603F6">
      <w:pPr>
        <w:spacing w:line="520" w:lineRule="exact"/>
        <w:ind w:firstLine="640" w:firstLineChars="200"/>
        <w:outlineLvl w:val="1"/>
        <w:rPr>
          <w:rFonts w:eastAsia="楷体_GB2312"/>
          <w:bCs/>
          <w:iCs/>
          <w:sz w:val="32"/>
          <w:szCs w:val="28"/>
        </w:rPr>
      </w:pPr>
      <w:r>
        <w:rPr>
          <w:rFonts w:eastAsia="楷体_GB2312"/>
          <w:bCs/>
          <w:iCs/>
          <w:sz w:val="32"/>
          <w:szCs w:val="28"/>
        </w:rPr>
        <w:t>2.</w:t>
      </w:r>
      <w:r>
        <w:rPr>
          <w:rFonts w:eastAsia="仿宋_GB2312"/>
          <w:sz w:val="32"/>
          <w:szCs w:val="32"/>
        </w:rPr>
        <w:t>分类编码</w:t>
      </w:r>
    </w:p>
    <w:p w14:paraId="6D36FEAD">
      <w:pPr>
        <w:spacing w:line="520" w:lineRule="exact"/>
        <w:ind w:firstLine="640" w:firstLineChars="200"/>
        <w:rPr>
          <w:rFonts w:eastAsia="仿宋_GB2312"/>
          <w:color w:val="000000"/>
          <w:sz w:val="32"/>
          <w:szCs w:val="32"/>
        </w:rPr>
      </w:pPr>
      <w:r>
        <w:rPr>
          <w:rFonts w:eastAsia="仿宋_GB2312"/>
          <w:color w:val="000000"/>
          <w:sz w:val="32"/>
          <w:szCs w:val="32"/>
        </w:rPr>
        <w:t>根据《医疗器械分类目录》，分类编码为</w:t>
      </w:r>
      <w:r>
        <w:rPr>
          <w:rFonts w:hint="eastAsia" w:eastAsia="仿宋_GB2312"/>
          <w:color w:val="000000"/>
          <w:sz w:val="32"/>
          <w:szCs w:val="32"/>
        </w:rPr>
        <w:t>14</w:t>
      </w:r>
      <w:r>
        <w:rPr>
          <w:rFonts w:eastAsia="仿宋_GB2312"/>
          <w:color w:val="000000"/>
          <w:sz w:val="32"/>
          <w:szCs w:val="32"/>
        </w:rPr>
        <w:t>-0</w:t>
      </w:r>
      <w:r>
        <w:rPr>
          <w:rFonts w:hint="eastAsia" w:eastAsia="仿宋_GB2312"/>
          <w:color w:val="000000"/>
          <w:sz w:val="32"/>
          <w:szCs w:val="32"/>
        </w:rPr>
        <w:t>6</w:t>
      </w:r>
      <w:r>
        <w:rPr>
          <w:rFonts w:eastAsia="仿宋_GB2312"/>
          <w:color w:val="000000"/>
          <w:sz w:val="32"/>
          <w:szCs w:val="32"/>
        </w:rPr>
        <w:t>-</w:t>
      </w:r>
      <w:r>
        <w:rPr>
          <w:rFonts w:hint="eastAsia" w:eastAsia="仿宋_GB2312"/>
          <w:color w:val="000000"/>
          <w:sz w:val="32"/>
          <w:szCs w:val="32"/>
        </w:rPr>
        <w:t>10</w:t>
      </w:r>
      <w:r>
        <w:rPr>
          <w:rFonts w:eastAsia="仿宋_GB2312"/>
          <w:color w:val="000000"/>
          <w:sz w:val="32"/>
          <w:szCs w:val="32"/>
        </w:rPr>
        <w:t>，管理类别为</w:t>
      </w:r>
      <w:r>
        <w:rPr>
          <w:rFonts w:hint="eastAsia" w:eastAsia="仿宋_GB2312"/>
          <w:spacing w:val="-20"/>
          <w:sz w:val="32"/>
          <w:szCs w:val="28"/>
        </w:rPr>
        <w:t>Ⅱ</w:t>
      </w:r>
      <w:r>
        <w:rPr>
          <w:rFonts w:eastAsia="仿宋_GB2312"/>
          <w:color w:val="000000"/>
          <w:sz w:val="32"/>
          <w:szCs w:val="32"/>
        </w:rPr>
        <w:t>类。</w:t>
      </w:r>
    </w:p>
    <w:p w14:paraId="70CABBB9">
      <w:pPr>
        <w:spacing w:line="520" w:lineRule="exact"/>
        <w:ind w:firstLine="640" w:firstLineChars="200"/>
        <w:outlineLvl w:val="1"/>
        <w:rPr>
          <w:rFonts w:eastAsia="楷体_GB2312"/>
          <w:bCs/>
          <w:iCs/>
          <w:sz w:val="32"/>
          <w:szCs w:val="28"/>
        </w:rPr>
      </w:pPr>
      <w:r>
        <w:rPr>
          <w:rFonts w:eastAsia="楷体_GB2312"/>
          <w:bCs/>
          <w:iCs/>
          <w:sz w:val="32"/>
          <w:szCs w:val="28"/>
        </w:rPr>
        <w:t>3.</w:t>
      </w:r>
      <w:r>
        <w:rPr>
          <w:rFonts w:eastAsia="仿宋_GB2312"/>
          <w:color w:val="000000"/>
          <w:sz w:val="32"/>
          <w:szCs w:val="32"/>
        </w:rPr>
        <w:t>注册单元划分的原则和实例</w:t>
      </w:r>
    </w:p>
    <w:p w14:paraId="64D2D3B9">
      <w:pPr>
        <w:spacing w:line="520" w:lineRule="exact"/>
        <w:ind w:firstLine="640" w:firstLineChars="200"/>
        <w:rPr>
          <w:rFonts w:eastAsia="仿宋_GB2312"/>
          <w:color w:val="000000"/>
          <w:sz w:val="32"/>
          <w:szCs w:val="32"/>
        </w:rPr>
      </w:pPr>
      <w:r>
        <w:rPr>
          <w:rFonts w:eastAsia="仿宋_GB2312"/>
          <w:color w:val="000000"/>
          <w:sz w:val="32"/>
          <w:szCs w:val="32"/>
        </w:rPr>
        <w:t>注册单元划分原则上以产品的技术原理、结构组成、性能指标和适用范围为划分依据</w:t>
      </w:r>
      <w:r>
        <w:rPr>
          <w:rFonts w:hint="eastAsia" w:eastAsia="仿宋_GB2312"/>
          <w:color w:val="000000"/>
          <w:sz w:val="32"/>
          <w:szCs w:val="32"/>
        </w:rPr>
        <w:t>：</w:t>
      </w:r>
    </w:p>
    <w:p w14:paraId="0013BE0A">
      <w:pPr>
        <w:spacing w:line="520" w:lineRule="exact"/>
        <w:ind w:firstLine="640" w:firstLineChars="200"/>
        <w:rPr>
          <w:rFonts w:eastAsia="仿宋_GB2312"/>
          <w:sz w:val="32"/>
          <w:szCs w:val="32"/>
        </w:rPr>
      </w:pPr>
      <w:r>
        <w:rPr>
          <w:rFonts w:hint="eastAsia" w:eastAsia="仿宋_GB2312"/>
          <w:sz w:val="32"/>
          <w:szCs w:val="32"/>
        </w:rPr>
        <w:t>如果仅是额定流量（抽气量）或功率存在差异，可划分为同一注册单元。</w:t>
      </w:r>
    </w:p>
    <w:p w14:paraId="71865CAD">
      <w:pPr>
        <w:spacing w:line="520" w:lineRule="exact"/>
        <w:ind w:firstLine="640" w:firstLineChars="200"/>
        <w:outlineLvl w:val="1"/>
        <w:rPr>
          <w:rFonts w:eastAsia="楷体_GB2312"/>
          <w:bCs/>
          <w:iCs/>
          <w:sz w:val="32"/>
          <w:szCs w:val="28"/>
        </w:rPr>
      </w:pPr>
      <w:r>
        <w:rPr>
          <w:rFonts w:eastAsia="楷体_GB2312"/>
          <w:bCs/>
          <w:iCs/>
          <w:sz w:val="32"/>
          <w:szCs w:val="28"/>
        </w:rPr>
        <w:t>（二）综述资料</w:t>
      </w:r>
    </w:p>
    <w:p w14:paraId="26979F57">
      <w:pPr>
        <w:spacing w:line="520" w:lineRule="exact"/>
        <w:ind w:firstLine="640" w:firstLineChars="200"/>
        <w:outlineLvl w:val="1"/>
        <w:rPr>
          <w:rFonts w:eastAsia="仿宋_GB2312"/>
          <w:bCs/>
          <w:iCs/>
          <w:sz w:val="32"/>
          <w:szCs w:val="28"/>
        </w:rPr>
      </w:pPr>
      <w:r>
        <w:rPr>
          <w:rFonts w:eastAsia="仿宋_GB2312"/>
          <w:bCs/>
          <w:iCs/>
          <w:sz w:val="32"/>
          <w:szCs w:val="28"/>
        </w:rPr>
        <w:t>1.产品的结构和组成</w:t>
      </w:r>
    </w:p>
    <w:p w14:paraId="76615965">
      <w:pPr>
        <w:spacing w:line="520" w:lineRule="exact"/>
        <w:ind w:firstLine="640" w:firstLineChars="200"/>
        <w:rPr>
          <w:rFonts w:eastAsia="仿宋_GB2312"/>
          <w:sz w:val="32"/>
          <w:szCs w:val="28"/>
        </w:rPr>
      </w:pPr>
      <w:r>
        <w:rPr>
          <w:rFonts w:eastAsia="仿宋_GB2312"/>
          <w:sz w:val="32"/>
          <w:szCs w:val="28"/>
        </w:rPr>
        <w:t>医用中心吸引系统</w:t>
      </w:r>
      <w:r>
        <w:rPr>
          <w:rFonts w:hint="eastAsia" w:eastAsia="仿宋_GB2312"/>
          <w:sz w:val="32"/>
          <w:szCs w:val="28"/>
        </w:rPr>
        <w:t>通常由中心吸引站、管道、阀门和终端组成，有些还包含区域报警装置。</w:t>
      </w:r>
    </w:p>
    <w:p w14:paraId="65291929">
      <w:pPr>
        <w:spacing w:line="520" w:lineRule="exact"/>
        <w:ind w:firstLine="640" w:firstLineChars="200"/>
        <w:rPr>
          <w:rFonts w:eastAsia="仿宋_GB2312"/>
          <w:sz w:val="32"/>
          <w:szCs w:val="28"/>
        </w:rPr>
      </w:pPr>
      <w:r>
        <w:rPr>
          <w:rFonts w:hint="eastAsia" w:eastAsia="仿宋_GB2312"/>
          <w:sz w:val="32"/>
          <w:szCs w:val="28"/>
        </w:rPr>
        <w:t>中心吸引站是由真空泵机组、真空罐、细菌过滤器、管路、阀门、电控柜、真空仪表和气源报警装置等组成的独立区域。</w:t>
      </w:r>
    </w:p>
    <w:p w14:paraId="68CFB0A1">
      <w:pPr>
        <w:spacing w:line="520" w:lineRule="exact"/>
        <w:ind w:firstLine="640" w:firstLineChars="200"/>
        <w:rPr>
          <w:rFonts w:eastAsia="仿宋_GB2312"/>
          <w:sz w:val="32"/>
          <w:szCs w:val="28"/>
        </w:rPr>
      </w:pPr>
      <w:r>
        <w:rPr>
          <w:rFonts w:hint="eastAsia" w:eastAsia="仿宋_GB2312"/>
          <w:sz w:val="32"/>
          <w:szCs w:val="28"/>
        </w:rPr>
        <w:t>医用中心吸引系统用于医院向手术室、抢救室、治疗室和病房终端提供负压，产生吸力。该系统不适用于直接做人工流产吸引。</w:t>
      </w:r>
    </w:p>
    <w:p w14:paraId="393A2BB9">
      <w:pPr>
        <w:spacing w:line="520" w:lineRule="exact"/>
        <w:ind w:firstLine="640" w:firstLineChars="200"/>
        <w:rPr>
          <w:rFonts w:eastAsia="仿宋_GB2312"/>
          <w:sz w:val="32"/>
          <w:szCs w:val="28"/>
        </w:rPr>
      </w:pPr>
      <w:r>
        <w:rPr>
          <w:rFonts w:eastAsia="仿宋_GB2312"/>
          <w:sz w:val="32"/>
          <w:szCs w:val="28"/>
        </w:rPr>
        <w:t>注册申请人应对医用中心吸引系统总体构造进行详细描述（建议采用结构示意框图及文字释义），包括所有组成部分，给出部件/组件的说明（如图表、照片或图纸）</w:t>
      </w:r>
      <w:r>
        <w:rPr>
          <w:rFonts w:hint="eastAsia" w:eastAsia="仿宋_GB2312"/>
          <w:sz w:val="32"/>
          <w:szCs w:val="28"/>
        </w:rPr>
        <w:t>，</w:t>
      </w:r>
      <w:r>
        <w:rPr>
          <w:rFonts w:eastAsia="仿宋_GB2312"/>
          <w:sz w:val="32"/>
          <w:szCs w:val="28"/>
        </w:rPr>
        <w:t>明确关键部件/组件</w:t>
      </w:r>
      <w:r>
        <w:rPr>
          <w:rFonts w:hint="eastAsia" w:eastAsia="仿宋_GB2312"/>
          <w:sz w:val="32"/>
          <w:szCs w:val="28"/>
        </w:rPr>
        <w:t>，如真空泵电机类型、功率、传动方式等，说明关键部件的作用。</w:t>
      </w:r>
    </w:p>
    <w:p w14:paraId="10F094B3">
      <w:pPr>
        <w:spacing w:line="520" w:lineRule="exact"/>
        <w:ind w:firstLine="640" w:firstLineChars="200"/>
        <w:rPr>
          <w:rFonts w:eastAsia="仿宋_GB2312"/>
          <w:snapToGrid w:val="0"/>
          <w:sz w:val="32"/>
          <w:szCs w:val="32"/>
        </w:rPr>
      </w:pPr>
      <w:r>
        <w:rPr>
          <w:rFonts w:hint="eastAsia" w:eastAsia="仿宋_GB2312"/>
          <w:sz w:val="32"/>
          <w:szCs w:val="28"/>
        </w:rPr>
        <w:t>真空泵机组一般由多台真空泵组成，有用有备，</w:t>
      </w:r>
      <w:r>
        <w:rPr>
          <w:rFonts w:hint="eastAsia" w:eastAsia="仿宋_GB2312"/>
          <w:kern w:val="0"/>
          <w:sz w:val="32"/>
          <w:szCs w:val="32"/>
        </w:rPr>
        <w:t>应设置防倒流装置，</w:t>
      </w:r>
      <w:r>
        <w:rPr>
          <w:rFonts w:hint="eastAsia" w:eastAsia="仿宋_GB2312"/>
          <w:sz w:val="32"/>
          <w:szCs w:val="32"/>
        </w:rPr>
        <w:t>注册申请人需明确中心吸引系统各组成部分的连接示意图，提供产品完整的示意图。</w:t>
      </w:r>
      <w:r>
        <w:rPr>
          <w:rFonts w:hint="eastAsia" w:eastAsia="仿宋_GB2312"/>
          <w:snapToGrid w:val="0"/>
          <w:sz w:val="32"/>
          <w:szCs w:val="32"/>
        </w:rPr>
        <w:t>同时，描述正常运行时各</w:t>
      </w:r>
      <w:r>
        <w:rPr>
          <w:rFonts w:hint="eastAsia" w:eastAsia="仿宋_GB2312"/>
          <w:sz w:val="32"/>
          <w:szCs w:val="28"/>
        </w:rPr>
        <w:t>真空泵机组</w:t>
      </w:r>
      <w:r>
        <w:rPr>
          <w:rFonts w:hint="eastAsia" w:eastAsia="仿宋_GB2312"/>
          <w:snapToGrid w:val="0"/>
          <w:sz w:val="32"/>
          <w:szCs w:val="32"/>
        </w:rPr>
        <w:t>切换运行的控制措施（如真空泵机组的启停条件）；单一故障下实现机组连续供气的控制方式。</w:t>
      </w:r>
    </w:p>
    <w:p w14:paraId="355A90BE">
      <w:pPr>
        <w:spacing w:line="520" w:lineRule="exact"/>
        <w:ind w:firstLine="640" w:firstLineChars="200"/>
        <w:rPr>
          <w:rFonts w:eastAsia="仿宋_GB2312"/>
          <w:sz w:val="32"/>
          <w:szCs w:val="32"/>
        </w:rPr>
      </w:pPr>
      <w:r>
        <w:rPr>
          <w:rFonts w:hint="eastAsia" w:eastAsia="仿宋_GB2312"/>
          <w:sz w:val="32"/>
          <w:szCs w:val="32"/>
        </w:rPr>
        <w:t>需明确报警装置在医用中心吸引系统实际安装中可能出现的具体位置（如区域报警，气源报警等）及所包含的具体报警功能，报警装置如包含网络接口需相应进行明确。需明确气源报警和区域报警的启动条件。</w:t>
      </w:r>
    </w:p>
    <w:p w14:paraId="1E635C85">
      <w:pPr>
        <w:spacing w:line="520" w:lineRule="exact"/>
        <w:ind w:firstLine="640" w:firstLineChars="200"/>
        <w:rPr>
          <w:rFonts w:eastAsia="仿宋_GB2312"/>
          <w:sz w:val="32"/>
          <w:szCs w:val="32"/>
        </w:rPr>
      </w:pPr>
      <w:r>
        <w:rPr>
          <w:rFonts w:hint="eastAsia" w:eastAsia="仿宋_GB2312"/>
          <w:sz w:val="32"/>
          <w:szCs w:val="32"/>
        </w:rPr>
        <w:t>终端需提供快速接头插座的符合标准及制式。</w:t>
      </w:r>
    </w:p>
    <w:p w14:paraId="5EB4D45D">
      <w:pPr>
        <w:spacing w:line="520" w:lineRule="exact"/>
        <w:ind w:firstLine="640" w:firstLineChars="200"/>
        <w:outlineLvl w:val="1"/>
        <w:rPr>
          <w:rFonts w:hint="eastAsia" w:eastAsia="仿宋_GB2312"/>
          <w:sz w:val="32"/>
          <w:szCs w:val="32"/>
        </w:rPr>
      </w:pPr>
      <w:r>
        <w:rPr>
          <w:rFonts w:hint="eastAsia" w:eastAsia="仿宋_GB2312"/>
          <w:sz w:val="32"/>
          <w:szCs w:val="32"/>
        </w:rPr>
        <w:t>申请人可参照下表，按照产品实际组成情况进行描述。</w:t>
      </w:r>
    </w:p>
    <w:p w14:paraId="616A2C3A">
      <w:pPr>
        <w:spacing w:line="520" w:lineRule="exact"/>
        <w:ind w:firstLine="560"/>
        <w:jc w:val="center"/>
        <w:rPr>
          <w:rFonts w:hint="eastAsia" w:eastAsia="仿宋_GB2312"/>
          <w:sz w:val="32"/>
          <w:szCs w:val="32"/>
        </w:rPr>
      </w:pPr>
      <w:r>
        <w:rPr>
          <w:rFonts w:hint="eastAsia" w:eastAsia="黑体"/>
          <w:sz w:val="28"/>
          <w:szCs w:val="28"/>
        </w:rPr>
        <w:t>表1 产品结构组成描述</w:t>
      </w:r>
    </w:p>
    <w:tbl>
      <w:tblPr>
        <w:tblStyle w:val="10"/>
        <w:tblW w:w="8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2722"/>
        <w:gridCol w:w="2806"/>
      </w:tblGrid>
      <w:tr w14:paraId="5E6F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9" w:type="dxa"/>
            <w:vAlign w:val="center"/>
          </w:tcPr>
          <w:p w14:paraId="2D08993A">
            <w:pPr>
              <w:jc w:val="center"/>
              <w:rPr>
                <w:rFonts w:eastAsia="仿宋_GB2312"/>
                <w:color w:val="000000"/>
                <w:spacing w:val="-1"/>
                <w:sz w:val="28"/>
                <w:szCs w:val="28"/>
              </w:rPr>
            </w:pPr>
            <w:r>
              <w:rPr>
                <w:rFonts w:hint="eastAsia" w:eastAsia="仿宋_GB2312"/>
                <w:color w:val="000000"/>
                <w:spacing w:val="-1"/>
                <w:sz w:val="28"/>
                <w:szCs w:val="28"/>
              </w:rPr>
              <w:t>部件名称</w:t>
            </w:r>
          </w:p>
        </w:tc>
        <w:tc>
          <w:tcPr>
            <w:tcW w:w="2722" w:type="dxa"/>
            <w:vAlign w:val="center"/>
          </w:tcPr>
          <w:p w14:paraId="3FBD3BB1">
            <w:pPr>
              <w:jc w:val="center"/>
              <w:rPr>
                <w:rFonts w:eastAsia="仿宋_GB2312"/>
                <w:color w:val="000000"/>
                <w:spacing w:val="-1"/>
                <w:sz w:val="28"/>
                <w:szCs w:val="28"/>
              </w:rPr>
            </w:pPr>
            <w:r>
              <w:rPr>
                <w:rFonts w:hint="eastAsia" w:eastAsia="仿宋_GB2312"/>
                <w:color w:val="000000"/>
                <w:spacing w:val="-1"/>
                <w:sz w:val="28"/>
                <w:szCs w:val="28"/>
              </w:rPr>
              <w:t>规格参数</w:t>
            </w:r>
          </w:p>
        </w:tc>
        <w:tc>
          <w:tcPr>
            <w:tcW w:w="2806" w:type="dxa"/>
            <w:vAlign w:val="center"/>
          </w:tcPr>
          <w:p w14:paraId="403DC77B">
            <w:pPr>
              <w:jc w:val="center"/>
              <w:rPr>
                <w:rFonts w:eastAsia="仿宋_GB2312"/>
                <w:color w:val="000000"/>
                <w:spacing w:val="-1"/>
                <w:sz w:val="28"/>
                <w:szCs w:val="28"/>
              </w:rPr>
            </w:pPr>
            <w:r>
              <w:rPr>
                <w:rFonts w:hint="eastAsia" w:eastAsia="仿宋_GB2312"/>
                <w:color w:val="000000"/>
                <w:spacing w:val="-1"/>
                <w:sz w:val="28"/>
                <w:szCs w:val="28"/>
              </w:rPr>
              <w:t>备注</w:t>
            </w:r>
          </w:p>
        </w:tc>
      </w:tr>
      <w:tr w14:paraId="7D4D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9" w:type="dxa"/>
            <w:vAlign w:val="center"/>
          </w:tcPr>
          <w:p w14:paraId="24C64D05">
            <w:pPr>
              <w:spacing w:line="460" w:lineRule="exact"/>
              <w:jc w:val="center"/>
              <w:rPr>
                <w:rFonts w:eastAsia="仿宋_GB2312"/>
                <w:color w:val="000000"/>
                <w:spacing w:val="-1"/>
                <w:sz w:val="28"/>
                <w:szCs w:val="28"/>
              </w:rPr>
            </w:pPr>
            <w:r>
              <w:rPr>
                <w:rFonts w:hint="eastAsia" w:eastAsia="仿宋_GB2312"/>
                <w:color w:val="000000"/>
                <w:spacing w:val="-1"/>
                <w:sz w:val="28"/>
                <w:szCs w:val="28"/>
              </w:rPr>
              <w:t>真空泵</w:t>
            </w:r>
          </w:p>
        </w:tc>
        <w:tc>
          <w:tcPr>
            <w:tcW w:w="2722" w:type="dxa"/>
            <w:vAlign w:val="center"/>
          </w:tcPr>
          <w:p w14:paraId="6D770112">
            <w:pPr>
              <w:spacing w:line="460" w:lineRule="exact"/>
              <w:jc w:val="center"/>
              <w:rPr>
                <w:rFonts w:eastAsia="仿宋_GB2312"/>
                <w:spacing w:val="-1"/>
                <w:sz w:val="28"/>
                <w:szCs w:val="28"/>
              </w:rPr>
            </w:pPr>
            <w:r>
              <w:rPr>
                <w:rFonts w:hint="eastAsia" w:eastAsia="仿宋_GB2312"/>
                <w:spacing w:val="-1"/>
                <w:sz w:val="28"/>
                <w:szCs w:val="28"/>
              </w:rPr>
              <w:t>真空泵类型；</w:t>
            </w:r>
          </w:p>
          <w:p w14:paraId="7B617EA7">
            <w:pPr>
              <w:spacing w:line="460" w:lineRule="exact"/>
              <w:jc w:val="center"/>
              <w:rPr>
                <w:rFonts w:eastAsia="仿宋_GB2312"/>
                <w:color w:val="FF0000"/>
                <w:spacing w:val="-1"/>
                <w:sz w:val="28"/>
                <w:szCs w:val="28"/>
              </w:rPr>
            </w:pPr>
            <w:r>
              <w:rPr>
                <w:rFonts w:hint="eastAsia" w:eastAsia="仿宋_GB2312"/>
                <w:spacing w:val="-1"/>
                <w:sz w:val="28"/>
                <w:szCs w:val="28"/>
              </w:rPr>
              <w:t>容积流量、功率；</w:t>
            </w:r>
          </w:p>
        </w:tc>
        <w:tc>
          <w:tcPr>
            <w:tcW w:w="2806" w:type="dxa"/>
            <w:vAlign w:val="center"/>
          </w:tcPr>
          <w:p w14:paraId="04B7CE61">
            <w:pPr>
              <w:jc w:val="center"/>
              <w:rPr>
                <w:rFonts w:eastAsia="仿宋_GB2312"/>
                <w:color w:val="000000"/>
                <w:spacing w:val="-1"/>
                <w:sz w:val="28"/>
                <w:szCs w:val="28"/>
              </w:rPr>
            </w:pPr>
            <w:r>
              <w:rPr>
                <w:rFonts w:eastAsia="仿宋_GB2312"/>
                <w:color w:val="000000"/>
                <w:spacing w:val="-1"/>
                <w:sz w:val="28"/>
                <w:szCs w:val="28"/>
              </w:rPr>
              <w:t>需说明包含的</w:t>
            </w:r>
            <w:r>
              <w:rPr>
                <w:rFonts w:hint="eastAsia" w:eastAsia="仿宋_GB2312"/>
                <w:color w:val="000000"/>
                <w:spacing w:val="-1"/>
                <w:sz w:val="28"/>
                <w:szCs w:val="28"/>
              </w:rPr>
              <w:t>真空泵</w:t>
            </w:r>
            <w:r>
              <w:rPr>
                <w:rFonts w:eastAsia="仿宋_GB2312"/>
                <w:color w:val="000000"/>
                <w:spacing w:val="-1"/>
                <w:sz w:val="28"/>
                <w:szCs w:val="28"/>
              </w:rPr>
              <w:t>数量</w:t>
            </w:r>
          </w:p>
        </w:tc>
      </w:tr>
      <w:tr w14:paraId="2A71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9" w:type="dxa"/>
            <w:vAlign w:val="center"/>
          </w:tcPr>
          <w:p w14:paraId="5F7090F8">
            <w:pPr>
              <w:spacing w:line="460" w:lineRule="exact"/>
              <w:jc w:val="center"/>
              <w:rPr>
                <w:rFonts w:eastAsia="仿宋_GB2312"/>
                <w:color w:val="000000"/>
                <w:spacing w:val="-1"/>
                <w:sz w:val="28"/>
                <w:szCs w:val="28"/>
              </w:rPr>
            </w:pPr>
            <w:r>
              <w:rPr>
                <w:rFonts w:hint="eastAsia" w:eastAsia="仿宋_GB2312"/>
                <w:color w:val="000000"/>
                <w:spacing w:val="-1"/>
                <w:sz w:val="28"/>
                <w:szCs w:val="28"/>
              </w:rPr>
              <w:t>真空</w:t>
            </w:r>
            <w:r>
              <w:rPr>
                <w:rFonts w:eastAsia="仿宋_GB2312"/>
                <w:color w:val="000000"/>
                <w:spacing w:val="-1"/>
                <w:sz w:val="28"/>
                <w:szCs w:val="28"/>
              </w:rPr>
              <w:t>罐</w:t>
            </w:r>
          </w:p>
        </w:tc>
        <w:tc>
          <w:tcPr>
            <w:tcW w:w="2722" w:type="dxa"/>
            <w:vAlign w:val="center"/>
          </w:tcPr>
          <w:p w14:paraId="30BD20DF">
            <w:pPr>
              <w:spacing w:line="460" w:lineRule="exact"/>
              <w:jc w:val="center"/>
              <w:rPr>
                <w:rFonts w:eastAsia="仿宋_GB2312"/>
                <w:color w:val="000000"/>
                <w:spacing w:val="-1"/>
                <w:sz w:val="28"/>
                <w:szCs w:val="28"/>
              </w:rPr>
            </w:pPr>
            <w:r>
              <w:rPr>
                <w:rFonts w:eastAsia="仿宋_GB2312"/>
                <w:color w:val="000000"/>
                <w:spacing w:val="-1"/>
                <w:sz w:val="28"/>
                <w:szCs w:val="28"/>
              </w:rPr>
              <w:t>容积；</w:t>
            </w:r>
          </w:p>
          <w:p w14:paraId="39145B79">
            <w:pPr>
              <w:spacing w:line="460" w:lineRule="exact"/>
              <w:jc w:val="center"/>
              <w:rPr>
                <w:rFonts w:eastAsia="仿宋_GB2312"/>
                <w:color w:val="000000"/>
                <w:spacing w:val="-1"/>
                <w:sz w:val="28"/>
                <w:szCs w:val="28"/>
              </w:rPr>
            </w:pPr>
            <w:r>
              <w:rPr>
                <w:rFonts w:eastAsia="仿宋_GB2312"/>
                <w:color w:val="000000"/>
                <w:spacing w:val="-1"/>
                <w:sz w:val="28"/>
                <w:szCs w:val="28"/>
              </w:rPr>
              <w:t>质量要求；</w:t>
            </w:r>
          </w:p>
        </w:tc>
        <w:tc>
          <w:tcPr>
            <w:tcW w:w="2806" w:type="dxa"/>
            <w:vAlign w:val="center"/>
          </w:tcPr>
          <w:p w14:paraId="3CE189C3">
            <w:pPr>
              <w:jc w:val="center"/>
              <w:rPr>
                <w:rFonts w:eastAsia="仿宋_GB2312"/>
                <w:color w:val="000000"/>
                <w:spacing w:val="-1"/>
                <w:sz w:val="28"/>
                <w:szCs w:val="28"/>
              </w:rPr>
            </w:pPr>
          </w:p>
        </w:tc>
      </w:tr>
      <w:tr w14:paraId="6DB3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9" w:type="dxa"/>
            <w:vAlign w:val="center"/>
          </w:tcPr>
          <w:p w14:paraId="0F8669DA">
            <w:pPr>
              <w:spacing w:line="460" w:lineRule="exact"/>
              <w:jc w:val="center"/>
              <w:rPr>
                <w:rFonts w:eastAsia="仿宋_GB2312"/>
                <w:color w:val="000000"/>
                <w:spacing w:val="-1"/>
                <w:sz w:val="28"/>
                <w:szCs w:val="28"/>
              </w:rPr>
            </w:pPr>
            <w:r>
              <w:rPr>
                <w:rFonts w:hint="eastAsia" w:eastAsia="仿宋_GB2312"/>
                <w:color w:val="000000"/>
                <w:spacing w:val="-1"/>
                <w:sz w:val="28"/>
                <w:szCs w:val="28"/>
              </w:rPr>
              <w:t>细菌</w:t>
            </w:r>
            <w:r>
              <w:rPr>
                <w:rFonts w:eastAsia="仿宋_GB2312"/>
                <w:color w:val="000000"/>
                <w:spacing w:val="-1"/>
                <w:sz w:val="28"/>
                <w:szCs w:val="28"/>
              </w:rPr>
              <w:t>过滤器</w:t>
            </w:r>
          </w:p>
        </w:tc>
        <w:tc>
          <w:tcPr>
            <w:tcW w:w="2722" w:type="dxa"/>
            <w:vAlign w:val="center"/>
          </w:tcPr>
          <w:p w14:paraId="6BA0A409">
            <w:pPr>
              <w:spacing w:line="460" w:lineRule="exact"/>
              <w:jc w:val="center"/>
              <w:rPr>
                <w:rFonts w:eastAsia="仿宋_GB2312"/>
                <w:color w:val="000000"/>
                <w:spacing w:val="-1"/>
                <w:sz w:val="28"/>
                <w:szCs w:val="28"/>
              </w:rPr>
            </w:pPr>
            <w:r>
              <w:rPr>
                <w:rFonts w:eastAsia="仿宋_GB2312"/>
                <w:color w:val="000000"/>
                <w:spacing w:val="-1"/>
                <w:sz w:val="28"/>
                <w:szCs w:val="28"/>
              </w:rPr>
              <w:t>类型；</w:t>
            </w:r>
          </w:p>
          <w:p w14:paraId="7BE84833">
            <w:pPr>
              <w:spacing w:line="460" w:lineRule="exact"/>
              <w:jc w:val="center"/>
              <w:rPr>
                <w:rFonts w:eastAsia="仿宋_GB2312"/>
                <w:color w:val="000000"/>
                <w:spacing w:val="-1"/>
                <w:sz w:val="28"/>
                <w:szCs w:val="28"/>
              </w:rPr>
            </w:pPr>
            <w:r>
              <w:rPr>
                <w:rFonts w:eastAsia="仿宋_GB2312"/>
                <w:color w:val="000000"/>
                <w:spacing w:val="-1"/>
                <w:sz w:val="28"/>
                <w:szCs w:val="28"/>
              </w:rPr>
              <w:t>精度；</w:t>
            </w:r>
          </w:p>
          <w:p w14:paraId="710D646B">
            <w:pPr>
              <w:spacing w:line="460" w:lineRule="exact"/>
              <w:jc w:val="center"/>
              <w:rPr>
                <w:rFonts w:eastAsia="仿宋_GB2312"/>
                <w:color w:val="000000"/>
                <w:spacing w:val="-1"/>
                <w:sz w:val="28"/>
                <w:szCs w:val="28"/>
              </w:rPr>
            </w:pPr>
            <w:r>
              <w:rPr>
                <w:rFonts w:eastAsia="仿宋_GB2312"/>
                <w:color w:val="000000"/>
                <w:spacing w:val="-1"/>
                <w:sz w:val="28"/>
                <w:szCs w:val="28"/>
              </w:rPr>
              <w:t>过滤效率；</w:t>
            </w:r>
          </w:p>
          <w:p w14:paraId="572F37A5">
            <w:pPr>
              <w:spacing w:line="460" w:lineRule="exact"/>
              <w:jc w:val="center"/>
              <w:rPr>
                <w:rFonts w:eastAsia="仿宋_GB2312"/>
                <w:color w:val="000000"/>
                <w:spacing w:val="-1"/>
                <w:sz w:val="28"/>
                <w:szCs w:val="28"/>
              </w:rPr>
            </w:pPr>
            <w:r>
              <w:rPr>
                <w:rFonts w:eastAsia="仿宋_GB2312"/>
                <w:color w:val="000000"/>
                <w:spacing w:val="-1"/>
                <w:sz w:val="28"/>
                <w:szCs w:val="28"/>
              </w:rPr>
              <w:t>处理流量</w:t>
            </w:r>
          </w:p>
        </w:tc>
        <w:tc>
          <w:tcPr>
            <w:tcW w:w="2806" w:type="dxa"/>
            <w:vAlign w:val="center"/>
          </w:tcPr>
          <w:p w14:paraId="57491908">
            <w:pPr>
              <w:jc w:val="center"/>
              <w:rPr>
                <w:rFonts w:eastAsia="仿宋_GB2312"/>
                <w:color w:val="000000"/>
                <w:spacing w:val="-1"/>
                <w:sz w:val="28"/>
                <w:szCs w:val="28"/>
              </w:rPr>
            </w:pPr>
            <w:r>
              <w:rPr>
                <w:rFonts w:eastAsia="仿宋_GB2312"/>
                <w:color w:val="000000"/>
                <w:spacing w:val="-1"/>
                <w:sz w:val="28"/>
                <w:szCs w:val="28"/>
              </w:rPr>
              <w:t>说明各级过滤器的信息</w:t>
            </w:r>
          </w:p>
        </w:tc>
      </w:tr>
      <w:tr w14:paraId="5545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9" w:type="dxa"/>
            <w:vAlign w:val="center"/>
          </w:tcPr>
          <w:p w14:paraId="43D55487">
            <w:pPr>
              <w:spacing w:line="460" w:lineRule="exact"/>
              <w:jc w:val="center"/>
              <w:rPr>
                <w:rFonts w:eastAsia="仿宋_GB2312"/>
                <w:color w:val="000000"/>
                <w:spacing w:val="-1"/>
                <w:sz w:val="28"/>
                <w:szCs w:val="28"/>
              </w:rPr>
            </w:pPr>
            <w:r>
              <w:rPr>
                <w:rFonts w:eastAsia="仿宋_GB2312"/>
                <w:color w:val="000000"/>
                <w:spacing w:val="-1"/>
                <w:sz w:val="28"/>
                <w:szCs w:val="28"/>
              </w:rPr>
              <w:t>管道</w:t>
            </w:r>
          </w:p>
        </w:tc>
        <w:tc>
          <w:tcPr>
            <w:tcW w:w="2722" w:type="dxa"/>
            <w:vAlign w:val="center"/>
          </w:tcPr>
          <w:p w14:paraId="460B10FE">
            <w:pPr>
              <w:spacing w:line="460" w:lineRule="exact"/>
              <w:jc w:val="center"/>
              <w:rPr>
                <w:rFonts w:eastAsia="仿宋_GB2312"/>
                <w:color w:val="000000"/>
                <w:spacing w:val="-1"/>
                <w:sz w:val="28"/>
                <w:szCs w:val="28"/>
              </w:rPr>
            </w:pPr>
            <w:r>
              <w:rPr>
                <w:rFonts w:eastAsia="仿宋_GB2312"/>
                <w:color w:val="000000"/>
                <w:spacing w:val="-1"/>
                <w:sz w:val="28"/>
                <w:szCs w:val="28"/>
              </w:rPr>
              <w:t>材质</w:t>
            </w:r>
          </w:p>
          <w:p w14:paraId="1AA28608">
            <w:pPr>
              <w:spacing w:line="460" w:lineRule="exact"/>
              <w:jc w:val="center"/>
              <w:rPr>
                <w:rFonts w:eastAsia="仿宋_GB2312"/>
                <w:color w:val="000000"/>
                <w:spacing w:val="-1"/>
                <w:sz w:val="28"/>
                <w:szCs w:val="28"/>
              </w:rPr>
            </w:pPr>
            <w:r>
              <w:rPr>
                <w:rFonts w:eastAsia="仿宋_GB2312"/>
                <w:color w:val="000000"/>
                <w:spacing w:val="-1"/>
                <w:sz w:val="28"/>
                <w:szCs w:val="28"/>
              </w:rPr>
              <w:t>质量要求</w:t>
            </w:r>
          </w:p>
        </w:tc>
        <w:tc>
          <w:tcPr>
            <w:tcW w:w="2806" w:type="dxa"/>
            <w:vAlign w:val="center"/>
          </w:tcPr>
          <w:p w14:paraId="4B73F9DB">
            <w:pPr>
              <w:jc w:val="center"/>
              <w:rPr>
                <w:rFonts w:eastAsia="仿宋_GB2312"/>
                <w:color w:val="000000"/>
                <w:spacing w:val="-1"/>
                <w:sz w:val="28"/>
                <w:szCs w:val="28"/>
              </w:rPr>
            </w:pPr>
          </w:p>
        </w:tc>
      </w:tr>
      <w:tr w14:paraId="4A9D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9" w:type="dxa"/>
            <w:vAlign w:val="center"/>
          </w:tcPr>
          <w:p w14:paraId="35C64327">
            <w:pPr>
              <w:spacing w:line="460" w:lineRule="exact"/>
              <w:jc w:val="center"/>
              <w:rPr>
                <w:rFonts w:eastAsia="仿宋_GB2312"/>
                <w:color w:val="000000"/>
                <w:spacing w:val="-1"/>
                <w:sz w:val="28"/>
                <w:szCs w:val="28"/>
              </w:rPr>
            </w:pPr>
            <w:r>
              <w:rPr>
                <w:rFonts w:eastAsia="仿宋_GB2312"/>
                <w:color w:val="000000"/>
                <w:spacing w:val="-1"/>
                <w:sz w:val="28"/>
                <w:szCs w:val="28"/>
              </w:rPr>
              <w:t>阀门</w:t>
            </w:r>
          </w:p>
        </w:tc>
        <w:tc>
          <w:tcPr>
            <w:tcW w:w="2722" w:type="dxa"/>
            <w:vAlign w:val="center"/>
          </w:tcPr>
          <w:p w14:paraId="4C7825E6">
            <w:pPr>
              <w:spacing w:line="460" w:lineRule="exact"/>
              <w:jc w:val="center"/>
              <w:rPr>
                <w:rFonts w:eastAsia="仿宋_GB2312"/>
                <w:color w:val="000000"/>
                <w:spacing w:val="-1"/>
                <w:sz w:val="28"/>
                <w:szCs w:val="28"/>
              </w:rPr>
            </w:pPr>
            <w:r>
              <w:rPr>
                <w:rFonts w:eastAsia="仿宋_GB2312"/>
                <w:color w:val="000000"/>
                <w:spacing w:val="-1"/>
                <w:sz w:val="28"/>
                <w:szCs w:val="28"/>
              </w:rPr>
              <w:t>材质</w:t>
            </w:r>
          </w:p>
        </w:tc>
        <w:tc>
          <w:tcPr>
            <w:tcW w:w="2806" w:type="dxa"/>
            <w:vAlign w:val="center"/>
          </w:tcPr>
          <w:p w14:paraId="17C94D65">
            <w:pPr>
              <w:jc w:val="center"/>
              <w:rPr>
                <w:rFonts w:eastAsia="仿宋_GB2312"/>
                <w:color w:val="000000"/>
                <w:spacing w:val="-1"/>
                <w:sz w:val="28"/>
                <w:szCs w:val="28"/>
              </w:rPr>
            </w:pPr>
          </w:p>
        </w:tc>
      </w:tr>
      <w:tr w14:paraId="3E5B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9" w:type="dxa"/>
            <w:vAlign w:val="center"/>
          </w:tcPr>
          <w:p w14:paraId="47B1AD05">
            <w:pPr>
              <w:spacing w:line="460" w:lineRule="exact"/>
              <w:jc w:val="center"/>
              <w:rPr>
                <w:rFonts w:eastAsia="仿宋_GB2312"/>
                <w:color w:val="000000"/>
                <w:spacing w:val="-1"/>
                <w:sz w:val="28"/>
                <w:szCs w:val="28"/>
              </w:rPr>
            </w:pPr>
            <w:r>
              <w:rPr>
                <w:rFonts w:hint="eastAsia" w:eastAsia="仿宋_GB2312"/>
                <w:color w:val="000000"/>
                <w:spacing w:val="-1"/>
                <w:sz w:val="28"/>
                <w:szCs w:val="28"/>
              </w:rPr>
              <w:t>医用终端</w:t>
            </w:r>
          </w:p>
        </w:tc>
        <w:tc>
          <w:tcPr>
            <w:tcW w:w="2722" w:type="dxa"/>
            <w:vAlign w:val="center"/>
          </w:tcPr>
          <w:p w14:paraId="396729D4">
            <w:pPr>
              <w:spacing w:line="460" w:lineRule="exact"/>
              <w:jc w:val="center"/>
              <w:rPr>
                <w:rFonts w:eastAsia="仿宋_GB2312"/>
                <w:color w:val="000000"/>
                <w:spacing w:val="-1"/>
                <w:sz w:val="28"/>
                <w:szCs w:val="28"/>
              </w:rPr>
            </w:pPr>
            <w:r>
              <w:rPr>
                <w:rFonts w:hint="eastAsia" w:eastAsia="仿宋_GB2312"/>
                <w:color w:val="000000"/>
                <w:spacing w:val="-1"/>
                <w:sz w:val="28"/>
                <w:szCs w:val="28"/>
              </w:rPr>
              <w:t>医用终端的制式</w:t>
            </w:r>
          </w:p>
        </w:tc>
        <w:tc>
          <w:tcPr>
            <w:tcW w:w="2806" w:type="dxa"/>
            <w:vAlign w:val="center"/>
          </w:tcPr>
          <w:p w14:paraId="3A0C6F71">
            <w:pPr>
              <w:jc w:val="center"/>
              <w:rPr>
                <w:rFonts w:eastAsia="仿宋_GB2312"/>
                <w:color w:val="000000"/>
                <w:spacing w:val="-1"/>
                <w:sz w:val="28"/>
                <w:szCs w:val="28"/>
              </w:rPr>
            </w:pPr>
          </w:p>
        </w:tc>
      </w:tr>
    </w:tbl>
    <w:p w14:paraId="5A4A35CC">
      <w:pPr>
        <w:spacing w:line="560" w:lineRule="exact"/>
        <w:ind w:firstLine="640" w:firstLineChars="200"/>
        <w:rPr>
          <w:rFonts w:eastAsia="仿宋_GB2312"/>
          <w:bCs/>
          <w:color w:val="000000"/>
          <w:sz w:val="32"/>
          <w:szCs w:val="32"/>
        </w:rPr>
      </w:pPr>
      <w:r>
        <w:rPr>
          <w:rFonts w:eastAsia="仿宋_GB2312"/>
          <w:color w:val="000000"/>
          <w:sz w:val="32"/>
          <w:szCs w:val="32"/>
        </w:rPr>
        <w:t>2.</w:t>
      </w:r>
      <w:r>
        <w:rPr>
          <w:rFonts w:eastAsia="仿宋_GB2312"/>
          <w:bCs/>
          <w:color w:val="000000"/>
          <w:sz w:val="32"/>
          <w:szCs w:val="32"/>
        </w:rPr>
        <w:t>型号规格</w:t>
      </w:r>
    </w:p>
    <w:p w14:paraId="3DBEA207">
      <w:pPr>
        <w:spacing w:line="520" w:lineRule="exact"/>
        <w:ind w:firstLine="640" w:firstLineChars="200"/>
        <w:rPr>
          <w:rFonts w:eastAsia="仿宋_GB2312"/>
          <w:sz w:val="32"/>
          <w:szCs w:val="32"/>
        </w:rPr>
      </w:pPr>
      <w:r>
        <w:rPr>
          <w:rFonts w:eastAsia="仿宋_GB2312"/>
          <w:sz w:val="32"/>
          <w:szCs w:val="28"/>
        </w:rPr>
        <w:t>对于存在多种型号规格的产品，需明确各型号规格的区别。需采用对比表及带有说明性文字的图片、图表，对各型号规格的结构组成、功能、产品特征、性能指标等方面进行描述。</w:t>
      </w:r>
    </w:p>
    <w:p w14:paraId="312A83DA">
      <w:pPr>
        <w:spacing w:line="520" w:lineRule="exact"/>
        <w:ind w:firstLine="640" w:firstLineChars="200"/>
        <w:rPr>
          <w:rFonts w:ascii="仿宋_GB2312" w:hAnsi="仿宋_GB2312" w:eastAsia="仿宋_GB2312" w:cs="仿宋_GB2312"/>
          <w:bCs/>
          <w:iCs/>
          <w:sz w:val="32"/>
          <w:szCs w:val="28"/>
        </w:rPr>
      </w:pPr>
      <w:r>
        <w:rPr>
          <w:rFonts w:hint="eastAsia" w:eastAsia="仿宋_GB2312"/>
          <w:sz w:val="32"/>
          <w:szCs w:val="32"/>
        </w:rPr>
        <w:t>3</w:t>
      </w:r>
      <w:r>
        <w:rPr>
          <w:rFonts w:eastAsia="楷体_GB2312"/>
          <w:bCs/>
          <w:iCs/>
          <w:sz w:val="32"/>
          <w:szCs w:val="28"/>
        </w:rPr>
        <w:t>.</w:t>
      </w:r>
      <w:r>
        <w:rPr>
          <w:rFonts w:hint="eastAsia" w:ascii="仿宋_GB2312" w:hAnsi="仿宋_GB2312" w:eastAsia="仿宋_GB2312" w:cs="仿宋_GB2312"/>
          <w:bCs/>
          <w:iCs/>
          <w:sz w:val="32"/>
          <w:szCs w:val="28"/>
        </w:rPr>
        <w:t>产品工作原理</w:t>
      </w:r>
    </w:p>
    <w:p w14:paraId="78B92829">
      <w:pPr>
        <w:spacing w:line="520" w:lineRule="exact"/>
        <w:ind w:firstLine="640" w:firstLineChars="200"/>
        <w:rPr>
          <w:rFonts w:eastAsia="仿宋_GB2312"/>
          <w:sz w:val="32"/>
          <w:szCs w:val="28"/>
        </w:rPr>
      </w:pPr>
      <w:r>
        <w:rPr>
          <w:rFonts w:hint="eastAsia" w:eastAsia="仿宋_GB2312"/>
          <w:sz w:val="32"/>
          <w:szCs w:val="28"/>
        </w:rPr>
        <w:t>通过中心吸引站中真空泵机组的抽吸使系统管路达到所需的负压值和吸引流量，在手术室、抢救室、治疗室和各个病房的终端处产生负压。</w:t>
      </w:r>
    </w:p>
    <w:p w14:paraId="424000B8">
      <w:pPr>
        <w:spacing w:line="520" w:lineRule="exact"/>
        <w:ind w:firstLine="640" w:firstLineChars="200"/>
        <w:outlineLvl w:val="1"/>
        <w:rPr>
          <w:rFonts w:eastAsia="仿宋_GB2312"/>
          <w:color w:val="000000"/>
          <w:sz w:val="32"/>
          <w:szCs w:val="32"/>
        </w:rPr>
      </w:pPr>
      <w:r>
        <w:rPr>
          <w:rFonts w:eastAsia="仿宋_GB2312"/>
          <w:color w:val="000000"/>
          <w:sz w:val="32"/>
          <w:szCs w:val="32"/>
        </w:rPr>
        <w:t>4.包装说明</w:t>
      </w:r>
    </w:p>
    <w:p w14:paraId="42C01430">
      <w:pPr>
        <w:spacing w:line="520" w:lineRule="exact"/>
        <w:ind w:firstLine="640" w:firstLineChars="200"/>
        <w:outlineLvl w:val="1"/>
        <w:rPr>
          <w:rFonts w:eastAsia="仿宋_GB2312"/>
          <w:color w:val="000000"/>
          <w:sz w:val="32"/>
          <w:szCs w:val="32"/>
        </w:rPr>
      </w:pPr>
      <w:r>
        <w:rPr>
          <w:rFonts w:eastAsia="仿宋_GB2312"/>
          <w:color w:val="000000"/>
          <w:sz w:val="32"/>
          <w:szCs w:val="32"/>
        </w:rPr>
        <w:t>描述产品包装的组成部分，说明包装清单和包装方式，提供包装图示。</w:t>
      </w:r>
    </w:p>
    <w:p w14:paraId="5BC1619C">
      <w:pPr>
        <w:spacing w:line="520" w:lineRule="exact"/>
        <w:ind w:firstLine="640" w:firstLineChars="200"/>
        <w:outlineLvl w:val="1"/>
        <w:rPr>
          <w:rFonts w:eastAsia="楷体_GB2312"/>
          <w:bCs/>
          <w:iCs/>
          <w:sz w:val="32"/>
          <w:szCs w:val="28"/>
        </w:rPr>
      </w:pPr>
      <w:r>
        <w:rPr>
          <w:rFonts w:hint="eastAsia" w:eastAsia="仿宋_GB2312"/>
          <w:sz w:val="32"/>
          <w:szCs w:val="28"/>
        </w:rPr>
        <w:t>5</w:t>
      </w:r>
      <w:r>
        <w:rPr>
          <w:rFonts w:eastAsia="楷体_GB2312"/>
          <w:bCs/>
          <w:iCs/>
          <w:sz w:val="32"/>
          <w:szCs w:val="28"/>
        </w:rPr>
        <w:t>.</w:t>
      </w:r>
      <w:r>
        <w:rPr>
          <w:rFonts w:hint="eastAsia" w:ascii="仿宋_GB2312" w:hAnsi="仿宋_GB2312" w:eastAsia="仿宋_GB2312" w:cs="仿宋_GB2312"/>
          <w:bCs/>
          <w:iCs/>
          <w:sz w:val="32"/>
          <w:szCs w:val="28"/>
        </w:rPr>
        <w:t>产品的适用范围、禁忌证</w:t>
      </w:r>
    </w:p>
    <w:p w14:paraId="7530F4E4">
      <w:pPr>
        <w:spacing w:line="520" w:lineRule="exact"/>
        <w:ind w:firstLine="640" w:firstLineChars="200"/>
        <w:rPr>
          <w:rFonts w:eastAsia="仿宋_GB2312"/>
          <w:sz w:val="32"/>
          <w:szCs w:val="28"/>
        </w:rPr>
      </w:pPr>
      <w:r>
        <w:rPr>
          <w:rFonts w:eastAsia="仿宋_GB2312"/>
          <w:sz w:val="32"/>
          <w:szCs w:val="28"/>
        </w:rPr>
        <w:t>（1）适用范围</w:t>
      </w:r>
    </w:p>
    <w:p w14:paraId="3E378B6C">
      <w:pPr>
        <w:spacing w:line="520" w:lineRule="exact"/>
        <w:ind w:firstLine="640" w:firstLineChars="200"/>
        <w:rPr>
          <w:rFonts w:eastAsia="仿宋_GB2312"/>
          <w:sz w:val="32"/>
          <w:szCs w:val="28"/>
        </w:rPr>
      </w:pPr>
      <w:r>
        <w:rPr>
          <w:rFonts w:hint="eastAsia" w:eastAsia="仿宋_GB2312"/>
          <w:sz w:val="32"/>
          <w:szCs w:val="28"/>
        </w:rPr>
        <w:t>供医疗机构用于中心吸引。</w:t>
      </w:r>
    </w:p>
    <w:p w14:paraId="31356D67">
      <w:pPr>
        <w:spacing w:line="520" w:lineRule="exact"/>
        <w:ind w:firstLine="640" w:firstLineChars="200"/>
        <w:rPr>
          <w:rFonts w:eastAsia="仿宋_GB2312"/>
          <w:sz w:val="32"/>
          <w:szCs w:val="28"/>
        </w:rPr>
      </w:pPr>
      <w:r>
        <w:rPr>
          <w:rFonts w:eastAsia="仿宋_GB2312"/>
          <w:sz w:val="32"/>
          <w:szCs w:val="28"/>
        </w:rPr>
        <w:t>（2）禁忌证</w:t>
      </w:r>
    </w:p>
    <w:p w14:paraId="6574046B">
      <w:pPr>
        <w:spacing w:line="520" w:lineRule="exact"/>
        <w:ind w:firstLine="640" w:firstLineChars="200"/>
        <w:outlineLvl w:val="1"/>
        <w:rPr>
          <w:rFonts w:eastAsia="仿宋_GB2312"/>
          <w:sz w:val="32"/>
          <w:szCs w:val="28"/>
        </w:rPr>
      </w:pPr>
      <w:r>
        <w:rPr>
          <w:rFonts w:hint="eastAsia" w:eastAsia="仿宋_GB2312"/>
          <w:sz w:val="32"/>
          <w:szCs w:val="28"/>
        </w:rPr>
        <w:t>禁止直接用于人工流产。</w:t>
      </w:r>
    </w:p>
    <w:p w14:paraId="6B919E6F">
      <w:pPr>
        <w:spacing w:line="520" w:lineRule="exact"/>
        <w:ind w:firstLine="640" w:firstLineChars="200"/>
        <w:outlineLvl w:val="1"/>
        <w:rPr>
          <w:rFonts w:eastAsia="楷体_GB2312"/>
          <w:bCs/>
          <w:iCs/>
          <w:sz w:val="32"/>
          <w:szCs w:val="28"/>
        </w:rPr>
      </w:pPr>
      <w:r>
        <w:rPr>
          <w:rFonts w:eastAsia="楷体_GB2312"/>
          <w:bCs/>
          <w:iCs/>
          <w:sz w:val="32"/>
          <w:szCs w:val="28"/>
        </w:rPr>
        <w:t>6.</w:t>
      </w:r>
      <w:r>
        <w:rPr>
          <w:rFonts w:hint="eastAsia" w:eastAsia="仿宋_GB2312"/>
          <w:sz w:val="32"/>
          <w:szCs w:val="32"/>
        </w:rPr>
        <w:t>产品的不良事件历史记录</w:t>
      </w:r>
    </w:p>
    <w:p w14:paraId="5E671265">
      <w:pPr>
        <w:spacing w:line="520" w:lineRule="exact"/>
        <w:ind w:firstLine="640" w:firstLineChars="200"/>
        <w:rPr>
          <w:rFonts w:eastAsia="仿宋_GB2312"/>
          <w:sz w:val="32"/>
          <w:szCs w:val="32"/>
        </w:rPr>
      </w:pPr>
      <w:r>
        <w:rPr>
          <w:rFonts w:hint="eastAsia" w:eastAsia="仿宋_GB2312"/>
          <w:sz w:val="32"/>
          <w:szCs w:val="32"/>
        </w:rPr>
        <w:t>注册申请人应关注并收集同类产品以及申报产品注册周期内的不良事件历史记录，可通过各国监管机构发布的不良事件资料库中查询相应不良事件数据。可以选择产品名称为方向开展医疗器械不良事件查询，通过在已选择的数据库的检索页面输入预期要进行查询的医疗器械产品名称，通过限制检索时间进行相关产品不良事件信息收集。</w:t>
      </w:r>
    </w:p>
    <w:p w14:paraId="11A0D44A">
      <w:pPr>
        <w:spacing w:line="520" w:lineRule="exact"/>
        <w:ind w:firstLine="640" w:firstLineChars="200"/>
        <w:outlineLvl w:val="1"/>
        <w:rPr>
          <w:rFonts w:eastAsia="楷体_GB2312"/>
          <w:bCs/>
          <w:iCs/>
          <w:sz w:val="32"/>
          <w:szCs w:val="28"/>
        </w:rPr>
      </w:pPr>
      <w:r>
        <w:rPr>
          <w:rFonts w:eastAsia="楷体_GB2312"/>
          <w:bCs/>
          <w:iCs/>
          <w:sz w:val="32"/>
          <w:szCs w:val="28"/>
        </w:rPr>
        <w:t>（三）非临床资料</w:t>
      </w:r>
    </w:p>
    <w:p w14:paraId="42394CF8">
      <w:pPr>
        <w:spacing w:line="520" w:lineRule="exact"/>
        <w:ind w:firstLine="640" w:firstLineChars="200"/>
        <w:outlineLvl w:val="1"/>
        <w:rPr>
          <w:rFonts w:eastAsia="仿宋_GB2312"/>
          <w:sz w:val="32"/>
          <w:szCs w:val="32"/>
        </w:rPr>
      </w:pPr>
      <w:r>
        <w:rPr>
          <w:rFonts w:eastAsia="仿宋_GB2312"/>
          <w:sz w:val="32"/>
          <w:szCs w:val="32"/>
        </w:rPr>
        <w:t>1.</w:t>
      </w:r>
      <w:r>
        <w:rPr>
          <w:rFonts w:hint="eastAsia" w:eastAsia="仿宋_GB2312"/>
          <w:sz w:val="32"/>
          <w:szCs w:val="32"/>
        </w:rPr>
        <w:t>产品风险管理资料</w:t>
      </w:r>
    </w:p>
    <w:p w14:paraId="01C8BA58">
      <w:pPr>
        <w:spacing w:line="520" w:lineRule="exact"/>
        <w:ind w:firstLine="640" w:firstLineChars="200"/>
        <w:rPr>
          <w:rFonts w:eastAsia="仿宋_GB2312"/>
          <w:sz w:val="32"/>
          <w:szCs w:val="32"/>
        </w:rPr>
      </w:pPr>
      <w:r>
        <w:rPr>
          <w:rFonts w:hint="eastAsia" w:eastAsia="仿宋_GB2312"/>
          <w:sz w:val="32"/>
          <w:szCs w:val="32"/>
        </w:rPr>
        <w:t>应按照GB/T42062《医疗器械风险管理应用》的要求进行风险管理。产品风险管理资料是对产品的风险管理过程及其评审的结果予以记录所形成的资料。应当提供下列内容，并说明对于每项已判定危害的下列各个过程的可追溯性。</w:t>
      </w:r>
    </w:p>
    <w:p w14:paraId="16AD0C60">
      <w:pPr>
        <w:spacing w:line="52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1</w:t>
      </w:r>
      <w:r>
        <w:rPr>
          <w:rFonts w:hint="eastAsia" w:eastAsia="仿宋_GB2312"/>
          <w:sz w:val="32"/>
          <w:szCs w:val="32"/>
        </w:rPr>
        <w:t>风险分析：包括医疗器械适用范围和与安全性有关特征的识别、危害的识别、估计每个危害处境的风险。</w:t>
      </w:r>
    </w:p>
    <w:p w14:paraId="33A14398">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2风险评价：对于每个已识别的危害处境，评价和决定是否需要降低风险，若需要，描述如何进行相应风险控制。</w:t>
      </w:r>
    </w:p>
    <w:p w14:paraId="053D9BFA">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3风险控制：描述为降低风险所执行风险控制的相关内容。</w:t>
      </w:r>
    </w:p>
    <w:p w14:paraId="0E23A256">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4任何一个或多个剩余风险的可接受性评定。</w:t>
      </w:r>
    </w:p>
    <w:p w14:paraId="6224E3F1">
      <w:pPr>
        <w:spacing w:line="520" w:lineRule="exact"/>
        <w:ind w:firstLine="640" w:firstLineChars="200"/>
        <w:rPr>
          <w:rFonts w:eastAsia="仿宋_GB2312"/>
          <w:sz w:val="32"/>
          <w:szCs w:val="32"/>
        </w:rPr>
      </w:pPr>
      <w:r>
        <w:rPr>
          <w:rFonts w:eastAsia="仿宋_GB2312"/>
          <w:sz w:val="32"/>
          <w:szCs w:val="32"/>
        </w:rPr>
        <w:t>1.5</w:t>
      </w:r>
      <w:r>
        <w:rPr>
          <w:rFonts w:hint="eastAsia" w:eastAsia="仿宋_GB2312"/>
          <w:sz w:val="32"/>
          <w:szCs w:val="32"/>
        </w:rPr>
        <w:t>与产品受益相比，综合评价产品风险可接受。</w:t>
      </w:r>
    </w:p>
    <w:p w14:paraId="78289225">
      <w:pPr>
        <w:spacing w:line="520" w:lineRule="exact"/>
        <w:ind w:firstLine="640" w:firstLineChars="200"/>
        <w:rPr>
          <w:rFonts w:eastAsia="仿宋_GB2312"/>
          <w:sz w:val="32"/>
          <w:szCs w:val="32"/>
        </w:rPr>
      </w:pPr>
    </w:p>
    <w:p w14:paraId="231A8A9A">
      <w:pPr>
        <w:spacing w:line="520" w:lineRule="exact"/>
        <w:ind w:firstLine="640" w:firstLineChars="200"/>
        <w:rPr>
          <w:rFonts w:eastAsia="仿宋_GB2312"/>
          <w:sz w:val="32"/>
          <w:szCs w:val="32"/>
        </w:rPr>
      </w:pPr>
    </w:p>
    <w:p w14:paraId="1E35F398">
      <w:pPr>
        <w:spacing w:line="520" w:lineRule="exact"/>
        <w:ind w:firstLine="640" w:firstLineChars="200"/>
        <w:rPr>
          <w:rFonts w:eastAsia="仿宋_GB2312"/>
          <w:sz w:val="32"/>
          <w:szCs w:val="32"/>
        </w:rPr>
      </w:pPr>
    </w:p>
    <w:p w14:paraId="128D4F67">
      <w:pPr>
        <w:spacing w:line="520" w:lineRule="exact"/>
        <w:ind w:firstLine="640" w:firstLineChars="200"/>
        <w:rPr>
          <w:rFonts w:eastAsia="仿宋_GB2312"/>
          <w:sz w:val="32"/>
          <w:szCs w:val="32"/>
        </w:rPr>
      </w:pPr>
    </w:p>
    <w:p w14:paraId="6AFCA636">
      <w:pPr>
        <w:spacing w:line="520" w:lineRule="exact"/>
        <w:ind w:firstLine="640" w:firstLineChars="200"/>
        <w:rPr>
          <w:rFonts w:eastAsia="仿宋_GB2312"/>
          <w:sz w:val="32"/>
          <w:szCs w:val="32"/>
        </w:rPr>
      </w:pPr>
    </w:p>
    <w:p w14:paraId="0BF9FC96">
      <w:pPr>
        <w:spacing w:line="520" w:lineRule="exact"/>
        <w:jc w:val="center"/>
        <w:rPr>
          <w:rFonts w:ascii="黑体" w:hAnsi="黑体" w:eastAsia="黑体"/>
          <w:spacing w:val="-4"/>
          <w:sz w:val="28"/>
          <w:szCs w:val="28"/>
        </w:rPr>
        <w:sectPr>
          <w:footerReference r:id="rId3" w:type="default"/>
          <w:footerReference r:id="rId4" w:type="even"/>
          <w:pgSz w:w="11906" w:h="16838"/>
          <w:pgMar w:top="2098" w:right="1588" w:bottom="2098" w:left="1588" w:header="851" w:footer="992" w:gutter="0"/>
          <w:pgBorders w:offsetFrom="page">
            <w:top w:val="single" w:color="FFFFFF" w:sz="8" w:space="24"/>
            <w:left w:val="single" w:color="FFFFFF" w:sz="8" w:space="24"/>
            <w:bottom w:val="single" w:color="FFFFFF" w:sz="8" w:space="24"/>
            <w:right w:val="single" w:color="FFFFFF" w:sz="8" w:space="24"/>
          </w:pgBorders>
          <w:lnNumType w:countBy="1" w:restart="continuous"/>
          <w:cols w:space="425" w:num="1"/>
          <w:docGrid w:type="linesAndChars" w:linePitch="312" w:charSpace="0"/>
        </w:sectPr>
      </w:pPr>
    </w:p>
    <w:p w14:paraId="13B403D4">
      <w:pPr>
        <w:spacing w:line="520" w:lineRule="exact"/>
        <w:jc w:val="center"/>
        <w:rPr>
          <w:rFonts w:ascii="黑体" w:hAnsi="黑体" w:eastAsia="黑体"/>
          <w:spacing w:val="-4"/>
          <w:sz w:val="28"/>
          <w:szCs w:val="28"/>
        </w:rPr>
      </w:pPr>
      <w:r>
        <w:rPr>
          <w:rFonts w:hint="eastAsia" w:ascii="黑体" w:hAnsi="黑体" w:eastAsia="黑体"/>
          <w:spacing w:val="-4"/>
          <w:sz w:val="28"/>
          <w:szCs w:val="28"/>
        </w:rPr>
        <w:t>表2医用中心吸引系统的危害分析,包括可预见的事件序列、危害处境和可产生的损害</w:t>
      </w:r>
    </w:p>
    <w:tbl>
      <w:tblPr>
        <w:tblStyle w:val="1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612"/>
        <w:gridCol w:w="4536"/>
        <w:gridCol w:w="3366"/>
      </w:tblGrid>
      <w:tr w14:paraId="3B25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92" w:type="dxa"/>
            <w:vAlign w:val="center"/>
          </w:tcPr>
          <w:p w14:paraId="160CEDFC">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风险分类</w:t>
            </w:r>
          </w:p>
        </w:tc>
        <w:tc>
          <w:tcPr>
            <w:tcW w:w="4612" w:type="dxa"/>
            <w:vAlign w:val="center"/>
          </w:tcPr>
          <w:p w14:paraId="30EA456D">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可预见的事件序列</w:t>
            </w:r>
          </w:p>
        </w:tc>
        <w:tc>
          <w:tcPr>
            <w:tcW w:w="4536" w:type="dxa"/>
            <w:vAlign w:val="center"/>
          </w:tcPr>
          <w:p w14:paraId="45A50A00">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危险情况</w:t>
            </w:r>
          </w:p>
        </w:tc>
        <w:tc>
          <w:tcPr>
            <w:tcW w:w="3366" w:type="dxa"/>
            <w:vAlign w:val="center"/>
          </w:tcPr>
          <w:p w14:paraId="4613C468">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伤害</w:t>
            </w:r>
          </w:p>
        </w:tc>
      </w:tr>
      <w:tr w14:paraId="1063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92" w:type="dxa"/>
            <w:vAlign w:val="center"/>
          </w:tcPr>
          <w:p w14:paraId="2D724841">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电磁能量</w:t>
            </w:r>
          </w:p>
        </w:tc>
        <w:tc>
          <w:tcPr>
            <w:tcW w:w="4612" w:type="dxa"/>
            <w:vAlign w:val="center"/>
          </w:tcPr>
          <w:p w14:paraId="39BF9954">
            <w:pPr>
              <w:spacing w:line="520" w:lineRule="exact"/>
              <w:jc w:val="center"/>
              <w:rPr>
                <w:rFonts w:ascii="仿宋_GB2312" w:hAnsi="仿宋" w:eastAsia="仿宋_GB2312" w:cstheme="minorBidi"/>
                <w:sz w:val="24"/>
              </w:rPr>
            </w:pPr>
            <w:r>
              <w:rPr>
                <w:rFonts w:hint="eastAsia" w:ascii="仿宋_GB2312" w:hAnsi="仿宋" w:eastAsia="仿宋_GB2312" w:cstheme="minorBidi"/>
                <w:sz w:val="24"/>
              </w:rPr>
              <w:t>在强电磁辐射源边使用电动设备，可能会出现电磁干扰程序运行</w:t>
            </w:r>
          </w:p>
        </w:tc>
        <w:tc>
          <w:tcPr>
            <w:tcW w:w="4536" w:type="dxa"/>
            <w:vAlign w:val="center"/>
          </w:tcPr>
          <w:p w14:paraId="138BBDC5">
            <w:pPr>
              <w:spacing w:line="520" w:lineRule="exact"/>
              <w:jc w:val="center"/>
              <w:rPr>
                <w:rFonts w:ascii="仿宋_GB2312" w:hAnsi="仿宋" w:eastAsia="仿宋_GB2312" w:cstheme="minorBidi"/>
                <w:sz w:val="24"/>
              </w:rPr>
            </w:pPr>
            <w:r>
              <w:rPr>
                <w:rFonts w:hint="eastAsia" w:ascii="仿宋_GB2312" w:hAnsi="仿宋" w:eastAsia="仿宋_GB2312" w:cstheme="minorBidi"/>
                <w:sz w:val="24"/>
              </w:rPr>
              <w:t>导致程序错误</w:t>
            </w:r>
          </w:p>
        </w:tc>
        <w:tc>
          <w:tcPr>
            <w:tcW w:w="3366" w:type="dxa"/>
            <w:vAlign w:val="center"/>
          </w:tcPr>
          <w:p w14:paraId="795AA448">
            <w:pPr>
              <w:widowControl/>
              <w:spacing w:before="100" w:beforeAutospacing="1" w:after="100" w:afterAutospacing="1" w:line="156" w:lineRule="atLeast"/>
              <w:ind w:firstLine="480"/>
              <w:jc w:val="center"/>
              <w:rPr>
                <w:rFonts w:ascii="仿宋_GB2312" w:hAnsi="仿宋" w:eastAsia="仿宋_GB2312" w:cstheme="minorBidi"/>
                <w:sz w:val="24"/>
              </w:rPr>
            </w:pPr>
            <w:r>
              <w:rPr>
                <w:rFonts w:hint="eastAsia" w:ascii="仿宋_GB2312" w:hAnsi="仿宋" w:eastAsia="仿宋_GB2312" w:cstheme="minorBidi"/>
                <w:sz w:val="24"/>
              </w:rPr>
              <w:t>影响供应的连续性，延误治疗</w:t>
            </w:r>
          </w:p>
        </w:tc>
      </w:tr>
      <w:tr w14:paraId="1C23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vAlign w:val="center"/>
          </w:tcPr>
          <w:p w14:paraId="19CD4566">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机械能危害</w:t>
            </w:r>
          </w:p>
        </w:tc>
        <w:tc>
          <w:tcPr>
            <w:tcW w:w="4612" w:type="dxa"/>
            <w:vAlign w:val="center"/>
          </w:tcPr>
          <w:p w14:paraId="70E49F56">
            <w:pPr>
              <w:spacing w:line="520" w:lineRule="exact"/>
              <w:jc w:val="center"/>
              <w:rPr>
                <w:rFonts w:ascii="仿宋_GB2312" w:hAnsi="仿宋" w:eastAsia="仿宋_GB2312" w:cstheme="minorBidi"/>
                <w:sz w:val="24"/>
              </w:rPr>
            </w:pPr>
            <w:r>
              <w:rPr>
                <w:rFonts w:ascii="仿宋_GB2312" w:hAnsi="仿宋" w:eastAsia="仿宋_GB2312" w:cstheme="minorBidi"/>
                <w:sz w:val="24"/>
              </w:rPr>
              <w:t>长时间及过高的</w:t>
            </w:r>
            <w:r>
              <w:rPr>
                <w:rFonts w:hint="eastAsia" w:ascii="仿宋_GB2312" w:hAnsi="仿宋" w:eastAsia="仿宋_GB2312" w:cstheme="minorBidi"/>
                <w:sz w:val="24"/>
              </w:rPr>
              <w:t>使用</w:t>
            </w:r>
            <w:r>
              <w:rPr>
                <w:rFonts w:ascii="仿宋_GB2312" w:hAnsi="仿宋" w:eastAsia="仿宋_GB2312" w:cstheme="minorBidi"/>
                <w:sz w:val="24"/>
              </w:rPr>
              <w:t>频率</w:t>
            </w:r>
          </w:p>
        </w:tc>
        <w:tc>
          <w:tcPr>
            <w:tcW w:w="4536" w:type="dxa"/>
            <w:vAlign w:val="center"/>
          </w:tcPr>
          <w:p w14:paraId="3D3A2415">
            <w:pPr>
              <w:widowControl/>
              <w:spacing w:before="100" w:beforeAutospacing="1" w:after="100" w:afterAutospacing="1" w:line="156" w:lineRule="atLeast"/>
              <w:jc w:val="center"/>
              <w:rPr>
                <w:rFonts w:ascii="仿宋_GB2312" w:hAnsi="仿宋" w:eastAsia="仿宋_GB2312" w:cstheme="minorBidi"/>
                <w:sz w:val="24"/>
              </w:rPr>
            </w:pPr>
            <w:r>
              <w:rPr>
                <w:rFonts w:ascii="仿宋_GB2312" w:hAnsi="仿宋" w:eastAsia="仿宋_GB2312" w:cstheme="minorBidi"/>
                <w:sz w:val="24"/>
              </w:rPr>
              <w:t>可</w:t>
            </w:r>
            <w:r>
              <w:rPr>
                <w:rFonts w:hint="eastAsia" w:ascii="仿宋_GB2312" w:hAnsi="仿宋" w:eastAsia="仿宋_GB2312" w:cstheme="minorBidi"/>
                <w:sz w:val="24"/>
              </w:rPr>
              <w:t>能</w:t>
            </w:r>
            <w:r>
              <w:rPr>
                <w:rFonts w:ascii="仿宋_GB2312" w:hAnsi="仿宋" w:eastAsia="仿宋_GB2312" w:cstheme="minorBidi"/>
                <w:sz w:val="24"/>
              </w:rPr>
              <w:t>导致</w:t>
            </w:r>
            <w:r>
              <w:rPr>
                <w:rFonts w:hint="eastAsia" w:ascii="仿宋_GB2312" w:hAnsi="仿宋" w:eastAsia="仿宋_GB2312" w:cstheme="minorBidi"/>
                <w:sz w:val="24"/>
              </w:rPr>
              <w:t>真空</w:t>
            </w:r>
            <w:r>
              <w:rPr>
                <w:rFonts w:ascii="仿宋_GB2312" w:hAnsi="仿宋" w:eastAsia="仿宋_GB2312" w:cstheme="minorBidi"/>
                <w:sz w:val="24"/>
              </w:rPr>
              <w:t>机组过热</w:t>
            </w:r>
          </w:p>
        </w:tc>
        <w:tc>
          <w:tcPr>
            <w:tcW w:w="3366" w:type="dxa"/>
            <w:vAlign w:val="center"/>
          </w:tcPr>
          <w:p w14:paraId="0D567A61">
            <w:pPr>
              <w:widowControl/>
              <w:spacing w:before="100" w:beforeAutospacing="1" w:after="100" w:afterAutospacing="1" w:line="156" w:lineRule="atLeast"/>
              <w:ind w:firstLine="480"/>
              <w:jc w:val="center"/>
              <w:rPr>
                <w:rFonts w:ascii="仿宋_GB2312" w:hAnsi="仿宋" w:eastAsia="仿宋_GB2312" w:cstheme="minorBidi"/>
                <w:sz w:val="24"/>
              </w:rPr>
            </w:pPr>
            <w:r>
              <w:rPr>
                <w:rFonts w:ascii="仿宋_GB2312" w:hAnsi="仿宋" w:eastAsia="仿宋_GB2312" w:cstheme="minorBidi"/>
                <w:sz w:val="24"/>
              </w:rPr>
              <w:t>运动部件磨损直至损坏停机</w:t>
            </w:r>
          </w:p>
        </w:tc>
      </w:tr>
      <w:tr w14:paraId="3001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511CDF7E">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1AF6F352">
            <w:pPr>
              <w:spacing w:line="520" w:lineRule="exact"/>
              <w:jc w:val="center"/>
              <w:rPr>
                <w:rFonts w:ascii="仿宋_GB2312" w:hAnsi="仿宋" w:eastAsia="仿宋_GB2312" w:cstheme="minorBidi"/>
                <w:sz w:val="24"/>
              </w:rPr>
            </w:pPr>
            <w:r>
              <w:rPr>
                <w:rFonts w:ascii="仿宋_GB2312" w:hAnsi="仿宋" w:eastAsia="仿宋_GB2312" w:cstheme="minorBidi"/>
                <w:sz w:val="24"/>
              </w:rPr>
              <w:t>真空表或真空压力传感器受到冲击或损坏</w:t>
            </w:r>
          </w:p>
        </w:tc>
        <w:tc>
          <w:tcPr>
            <w:tcW w:w="4536" w:type="dxa"/>
            <w:vAlign w:val="center"/>
          </w:tcPr>
          <w:p w14:paraId="62E9AD2A">
            <w:pPr>
              <w:widowControl/>
              <w:spacing w:before="100" w:beforeAutospacing="1" w:after="100" w:afterAutospacing="1" w:line="156" w:lineRule="atLeast"/>
              <w:jc w:val="center"/>
              <w:rPr>
                <w:rFonts w:ascii="仿宋_GB2312" w:hAnsi="仿宋" w:eastAsia="仿宋_GB2312" w:cstheme="minorBidi"/>
                <w:sz w:val="24"/>
              </w:rPr>
            </w:pPr>
            <w:r>
              <w:rPr>
                <w:rFonts w:ascii="仿宋_GB2312" w:hAnsi="仿宋" w:eastAsia="仿宋_GB2312" w:cstheme="minorBidi"/>
                <w:sz w:val="24"/>
              </w:rPr>
              <w:t>导致无法工作或输出量值错误</w:t>
            </w:r>
          </w:p>
        </w:tc>
        <w:tc>
          <w:tcPr>
            <w:tcW w:w="3366" w:type="dxa"/>
            <w:vAlign w:val="center"/>
          </w:tcPr>
          <w:p w14:paraId="148998AD">
            <w:pPr>
              <w:widowControl/>
              <w:spacing w:before="100" w:beforeAutospacing="1" w:after="100" w:afterAutospacing="1" w:line="156" w:lineRule="atLeast"/>
              <w:ind w:firstLine="480"/>
              <w:jc w:val="center"/>
              <w:rPr>
                <w:rFonts w:ascii="仿宋_GB2312" w:hAnsi="仿宋" w:eastAsia="仿宋_GB2312" w:cstheme="minorBidi"/>
                <w:sz w:val="24"/>
              </w:rPr>
            </w:pPr>
            <w:r>
              <w:rPr>
                <w:rFonts w:ascii="仿宋_GB2312" w:hAnsi="仿宋" w:eastAsia="仿宋_GB2312" w:cstheme="minorBidi"/>
                <w:sz w:val="24"/>
              </w:rPr>
              <w:t>设备误报警</w:t>
            </w:r>
            <w:r>
              <w:rPr>
                <w:rFonts w:hint="eastAsia" w:ascii="仿宋_GB2312" w:hAnsi="仿宋" w:eastAsia="仿宋_GB2312" w:cstheme="minorBidi"/>
                <w:sz w:val="24"/>
              </w:rPr>
              <w:t>，</w:t>
            </w:r>
            <w:r>
              <w:rPr>
                <w:rFonts w:ascii="仿宋_GB2312" w:hAnsi="仿宋" w:eastAsia="仿宋_GB2312" w:cstheme="minorBidi"/>
                <w:sz w:val="24"/>
              </w:rPr>
              <w:t>影响患者或器械的正常使用</w:t>
            </w:r>
          </w:p>
        </w:tc>
      </w:tr>
      <w:tr w14:paraId="3E38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11797FDB">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4E999675">
            <w:pPr>
              <w:widowControl/>
              <w:spacing w:before="100" w:beforeAutospacing="1" w:after="100" w:afterAutospacing="1" w:line="156" w:lineRule="atLeast"/>
              <w:ind w:firstLine="480"/>
              <w:jc w:val="center"/>
              <w:rPr>
                <w:rFonts w:ascii="仿宋_GB2312" w:hAnsi="仿宋" w:eastAsia="仿宋_GB2312" w:cstheme="minorBidi"/>
                <w:sz w:val="24"/>
              </w:rPr>
            </w:pPr>
            <w:r>
              <w:rPr>
                <w:rFonts w:hint="eastAsia" w:ascii="仿宋_GB2312" w:hAnsi="仿宋" w:eastAsia="仿宋_GB2312" w:cstheme="minorBidi"/>
                <w:sz w:val="24"/>
              </w:rPr>
              <w:t>仪器在储存和运输过程中会受到撞击和挤压</w:t>
            </w:r>
          </w:p>
        </w:tc>
        <w:tc>
          <w:tcPr>
            <w:tcW w:w="4536" w:type="dxa"/>
            <w:tcBorders>
              <w:bottom w:val="single" w:color="auto" w:sz="4" w:space="0"/>
            </w:tcBorders>
            <w:vAlign w:val="center"/>
          </w:tcPr>
          <w:p w14:paraId="4807272E">
            <w:pPr>
              <w:widowControl/>
              <w:spacing w:before="100" w:beforeAutospacing="1" w:after="100" w:afterAutospacing="1" w:line="156" w:lineRule="atLeast"/>
              <w:ind w:firstLine="480"/>
              <w:jc w:val="center"/>
              <w:rPr>
                <w:rFonts w:ascii="仿宋_GB2312" w:hAnsi="仿宋" w:eastAsia="仿宋_GB2312" w:cstheme="minorBidi"/>
                <w:sz w:val="24"/>
              </w:rPr>
            </w:pPr>
            <w:r>
              <w:rPr>
                <w:rFonts w:hint="eastAsia" w:ascii="仿宋_GB2312" w:hAnsi="仿宋" w:eastAsia="仿宋_GB2312" w:cstheme="minorBidi"/>
                <w:sz w:val="24"/>
              </w:rPr>
              <w:t>仪器损坏或影响使用</w:t>
            </w:r>
          </w:p>
        </w:tc>
        <w:tc>
          <w:tcPr>
            <w:tcW w:w="3366" w:type="dxa"/>
            <w:tcBorders>
              <w:bottom w:val="single" w:color="auto" w:sz="4" w:space="0"/>
            </w:tcBorders>
            <w:vAlign w:val="center"/>
          </w:tcPr>
          <w:p w14:paraId="2EB5C56C">
            <w:pPr>
              <w:widowControl/>
              <w:spacing w:before="100" w:beforeAutospacing="1" w:after="100" w:afterAutospacing="1" w:line="156" w:lineRule="atLeast"/>
              <w:ind w:firstLine="480"/>
              <w:jc w:val="center"/>
              <w:rPr>
                <w:rFonts w:ascii="仿宋_GB2312" w:hAnsi="仿宋" w:eastAsia="仿宋_GB2312" w:cstheme="minorBidi"/>
                <w:sz w:val="24"/>
              </w:rPr>
            </w:pPr>
            <w:r>
              <w:rPr>
                <w:rFonts w:hint="eastAsia" w:ascii="仿宋_GB2312" w:hAnsi="仿宋" w:eastAsia="仿宋_GB2312" w:cstheme="minorBidi"/>
                <w:sz w:val="24"/>
              </w:rPr>
              <w:t>设备性能不可靠</w:t>
            </w:r>
          </w:p>
        </w:tc>
      </w:tr>
      <w:tr w14:paraId="6260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5F75090F">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2E527F40">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接头处未能达到密封效果，接触不好</w:t>
            </w:r>
          </w:p>
        </w:tc>
        <w:tc>
          <w:tcPr>
            <w:tcW w:w="4536" w:type="dxa"/>
            <w:vAlign w:val="center"/>
          </w:tcPr>
          <w:p w14:paraId="7A2FB104">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负压量不足</w:t>
            </w:r>
          </w:p>
        </w:tc>
        <w:tc>
          <w:tcPr>
            <w:tcW w:w="3366" w:type="dxa"/>
            <w:vAlign w:val="center"/>
          </w:tcPr>
          <w:p w14:paraId="5CACDD94">
            <w:pPr>
              <w:widowControl/>
              <w:spacing w:before="100" w:beforeAutospacing="1" w:after="100" w:afterAutospacing="1" w:line="156" w:lineRule="atLeast"/>
              <w:ind w:firstLine="480"/>
              <w:jc w:val="center"/>
              <w:rPr>
                <w:rFonts w:ascii="仿宋_GB2312" w:hAnsi="仿宋" w:eastAsia="仿宋_GB2312" w:cstheme="minorBidi"/>
                <w:sz w:val="24"/>
              </w:rPr>
            </w:pPr>
            <w:r>
              <w:rPr>
                <w:rFonts w:hint="eastAsia" w:ascii="仿宋_GB2312" w:hAnsi="仿宋" w:eastAsia="仿宋_GB2312" w:cstheme="minorBidi"/>
                <w:sz w:val="24"/>
              </w:rPr>
              <w:t>影响治疗</w:t>
            </w:r>
          </w:p>
        </w:tc>
      </w:tr>
      <w:tr w14:paraId="67FD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3925DDEB">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195D4A3F">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运行中失去供应源供应</w:t>
            </w:r>
          </w:p>
        </w:tc>
        <w:tc>
          <w:tcPr>
            <w:tcW w:w="4536" w:type="dxa"/>
            <w:vAlign w:val="center"/>
          </w:tcPr>
          <w:p w14:paraId="48A824E4">
            <w:pPr>
              <w:widowControl/>
              <w:spacing w:before="100" w:beforeAutospacing="1" w:after="100" w:afterAutospacing="1" w:line="156" w:lineRule="atLeast"/>
              <w:jc w:val="center"/>
              <w:rPr>
                <w:rFonts w:ascii="仿宋_GB2312" w:hAnsi="仿宋" w:eastAsia="仿宋_GB2312" w:cs="Times New Roman"/>
                <w:sz w:val="24"/>
              </w:rPr>
            </w:pPr>
            <w:r>
              <w:rPr>
                <w:rFonts w:hint="eastAsia" w:ascii="仿宋_GB2312" w:hAnsi="仿宋" w:eastAsia="仿宋_GB2312" w:cstheme="minorBidi"/>
                <w:sz w:val="24"/>
              </w:rPr>
              <w:t>所有系统（主供应源、备用供应源）均发生故障，无负压</w:t>
            </w:r>
          </w:p>
        </w:tc>
        <w:tc>
          <w:tcPr>
            <w:tcW w:w="3366" w:type="dxa"/>
            <w:vAlign w:val="center"/>
          </w:tcPr>
          <w:p w14:paraId="2276C2CD">
            <w:pPr>
              <w:widowControl/>
              <w:spacing w:before="100" w:beforeAutospacing="1" w:after="100" w:afterAutospacing="1" w:line="156" w:lineRule="atLeast"/>
              <w:ind w:firstLine="480"/>
              <w:jc w:val="center"/>
              <w:rPr>
                <w:rFonts w:ascii="仿宋_GB2312" w:hAnsi="仿宋" w:eastAsia="仿宋_GB2312" w:cs="Times New Roman"/>
                <w:sz w:val="24"/>
              </w:rPr>
            </w:pPr>
            <w:r>
              <w:rPr>
                <w:rFonts w:hint="eastAsia" w:ascii="仿宋_GB2312" w:hAnsi="仿宋" w:eastAsia="仿宋_GB2312" w:cstheme="minorBidi"/>
                <w:sz w:val="24"/>
              </w:rPr>
              <w:t>影响负压的供应连续性，延误治疗</w:t>
            </w:r>
          </w:p>
        </w:tc>
      </w:tr>
      <w:tr w14:paraId="35A5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34197E86">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08EB4ECD">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管道堵塞/管道腐蚀</w:t>
            </w:r>
          </w:p>
        </w:tc>
        <w:tc>
          <w:tcPr>
            <w:tcW w:w="4536" w:type="dxa"/>
            <w:vAlign w:val="center"/>
          </w:tcPr>
          <w:p w14:paraId="20C3FFB7">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压力不达标，患者或设备的吸引压力和流量损失或减少</w:t>
            </w:r>
          </w:p>
        </w:tc>
        <w:tc>
          <w:tcPr>
            <w:tcW w:w="3366" w:type="dxa"/>
            <w:vAlign w:val="center"/>
          </w:tcPr>
          <w:p w14:paraId="4AF47CC3">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影响负压的供应连续性，从而影响治疗</w:t>
            </w:r>
          </w:p>
        </w:tc>
      </w:tr>
      <w:tr w14:paraId="285D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278E84CE">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6EB9BC1B">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报警故障</w:t>
            </w:r>
          </w:p>
        </w:tc>
        <w:tc>
          <w:tcPr>
            <w:tcW w:w="4536" w:type="dxa"/>
            <w:vAlign w:val="center"/>
          </w:tcPr>
          <w:p w14:paraId="6299FC3E">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系统情况不能及时了解，产品出现故障时未报警</w:t>
            </w:r>
          </w:p>
        </w:tc>
        <w:tc>
          <w:tcPr>
            <w:tcW w:w="3366" w:type="dxa"/>
            <w:vAlign w:val="center"/>
          </w:tcPr>
          <w:p w14:paraId="0FE89C81">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影响负压的供应连续性，造成供应故障</w:t>
            </w:r>
          </w:p>
        </w:tc>
      </w:tr>
      <w:tr w14:paraId="33D0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485A9935">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714EAB81">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使用不合格的压力容器</w:t>
            </w:r>
          </w:p>
        </w:tc>
        <w:tc>
          <w:tcPr>
            <w:tcW w:w="4536" w:type="dxa"/>
            <w:vAlign w:val="center"/>
          </w:tcPr>
          <w:p w14:paraId="36539BE4">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造成泄漏，</w:t>
            </w:r>
            <w:r>
              <w:rPr>
                <w:rFonts w:ascii="仿宋_GB2312" w:hAnsi="仿宋" w:eastAsia="仿宋_GB2312" w:cstheme="minorBidi"/>
                <w:sz w:val="24"/>
              </w:rPr>
              <w:t>设备工作时无法达到规定的性能指标</w:t>
            </w:r>
          </w:p>
        </w:tc>
        <w:tc>
          <w:tcPr>
            <w:tcW w:w="3366" w:type="dxa"/>
            <w:vAlign w:val="center"/>
          </w:tcPr>
          <w:p w14:paraId="4437949D">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影响治疗</w:t>
            </w:r>
          </w:p>
        </w:tc>
      </w:tr>
      <w:tr w14:paraId="2687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92" w:type="dxa"/>
            <w:vMerge w:val="continue"/>
            <w:vAlign w:val="center"/>
          </w:tcPr>
          <w:p w14:paraId="5A42AE47">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39D1E756">
            <w:pPr>
              <w:spacing w:line="520" w:lineRule="exact"/>
              <w:ind w:firstLine="480"/>
              <w:jc w:val="center"/>
              <w:rPr>
                <w:rFonts w:ascii="仿宋_GB2312" w:hAnsi="仿宋" w:eastAsia="仿宋_GB2312" w:cstheme="minorBidi"/>
                <w:sz w:val="24"/>
              </w:rPr>
            </w:pPr>
            <w:r>
              <w:rPr>
                <w:rFonts w:hint="eastAsia" w:ascii="仿宋_GB2312" w:hAnsi="仿宋" w:eastAsia="仿宋_GB2312" w:cstheme="minorBidi"/>
                <w:sz w:val="24"/>
              </w:rPr>
              <w:t>压力控制故障</w:t>
            </w:r>
          </w:p>
        </w:tc>
        <w:tc>
          <w:tcPr>
            <w:tcW w:w="4536" w:type="dxa"/>
            <w:vAlign w:val="center"/>
          </w:tcPr>
          <w:p w14:paraId="2E109379">
            <w:pPr>
              <w:spacing w:line="520" w:lineRule="exact"/>
              <w:jc w:val="center"/>
              <w:rPr>
                <w:rFonts w:ascii="仿宋_GB2312" w:hAnsi="仿宋" w:eastAsia="仿宋_GB2312" w:cstheme="minorBidi"/>
                <w:sz w:val="24"/>
              </w:rPr>
            </w:pPr>
            <w:r>
              <w:rPr>
                <w:rFonts w:hint="eastAsia" w:ascii="仿宋_GB2312" w:hAnsi="仿宋" w:eastAsia="仿宋_GB2312" w:cstheme="minorBidi"/>
                <w:sz w:val="24"/>
              </w:rPr>
              <w:t>导致终端处于高压或低压</w:t>
            </w:r>
          </w:p>
        </w:tc>
        <w:tc>
          <w:tcPr>
            <w:tcW w:w="3366" w:type="dxa"/>
            <w:vAlign w:val="center"/>
          </w:tcPr>
          <w:p w14:paraId="6E5809E4">
            <w:pPr>
              <w:widowControl/>
              <w:spacing w:before="100" w:beforeAutospacing="1" w:after="100" w:afterAutospacing="1" w:line="156" w:lineRule="atLeast"/>
              <w:ind w:firstLine="480"/>
              <w:jc w:val="center"/>
              <w:rPr>
                <w:rFonts w:ascii="仿宋_GB2312" w:hAnsi="仿宋" w:eastAsia="仿宋_GB2312" w:cstheme="minorBidi"/>
                <w:sz w:val="24"/>
              </w:rPr>
            </w:pPr>
            <w:r>
              <w:rPr>
                <w:rFonts w:hint="eastAsia" w:ascii="仿宋_GB2312" w:hAnsi="仿宋" w:eastAsia="仿宋_GB2312" w:cstheme="minorBidi"/>
                <w:sz w:val="24"/>
              </w:rPr>
              <w:t>设备性能不可靠，影响治疗</w:t>
            </w:r>
          </w:p>
        </w:tc>
      </w:tr>
      <w:tr w14:paraId="0233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92" w:type="dxa"/>
            <w:vMerge w:val="continue"/>
            <w:vAlign w:val="center"/>
          </w:tcPr>
          <w:p w14:paraId="23A24678">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27AFCD57">
            <w:pPr>
              <w:spacing w:line="520" w:lineRule="exact"/>
              <w:ind w:firstLine="480"/>
              <w:jc w:val="center"/>
              <w:rPr>
                <w:rFonts w:ascii="仿宋_GB2312" w:hAnsi="仿宋" w:eastAsia="仿宋_GB2312" w:cstheme="minorBidi"/>
                <w:sz w:val="24"/>
              </w:rPr>
            </w:pPr>
            <w:r>
              <w:rPr>
                <w:rFonts w:hint="eastAsia" w:ascii="仿宋_GB2312" w:hAnsi="仿宋" w:eastAsia="仿宋_GB2312" w:cstheme="minorBidi"/>
                <w:sz w:val="24"/>
              </w:rPr>
              <w:t>细菌过滤器堵塞</w:t>
            </w:r>
          </w:p>
        </w:tc>
        <w:tc>
          <w:tcPr>
            <w:tcW w:w="4536" w:type="dxa"/>
            <w:vAlign w:val="center"/>
          </w:tcPr>
          <w:p w14:paraId="34740786">
            <w:pPr>
              <w:spacing w:line="520" w:lineRule="exact"/>
              <w:jc w:val="center"/>
              <w:rPr>
                <w:rFonts w:ascii="仿宋_GB2312" w:hAnsi="仿宋" w:eastAsia="仿宋_GB2312" w:cstheme="minorBidi"/>
                <w:sz w:val="24"/>
              </w:rPr>
            </w:pPr>
            <w:r>
              <w:rPr>
                <w:rFonts w:hint="eastAsia" w:ascii="仿宋_GB2312" w:hAnsi="仿宋" w:eastAsia="仿宋_GB2312" w:cstheme="minorBidi"/>
                <w:sz w:val="24"/>
              </w:rPr>
              <w:t>导致流量减小或堵塞</w:t>
            </w:r>
          </w:p>
        </w:tc>
        <w:tc>
          <w:tcPr>
            <w:tcW w:w="3366" w:type="dxa"/>
            <w:vAlign w:val="center"/>
          </w:tcPr>
          <w:p w14:paraId="1E8DA789">
            <w:pPr>
              <w:widowControl/>
              <w:spacing w:before="100" w:beforeAutospacing="1" w:after="100" w:afterAutospacing="1" w:line="156" w:lineRule="atLeast"/>
              <w:ind w:firstLine="480"/>
              <w:jc w:val="center"/>
              <w:rPr>
                <w:rFonts w:ascii="仿宋_GB2312" w:hAnsi="仿宋" w:eastAsia="仿宋_GB2312" w:cstheme="minorBidi"/>
                <w:color w:val="0070C0"/>
                <w:sz w:val="24"/>
              </w:rPr>
            </w:pPr>
            <w:r>
              <w:rPr>
                <w:rFonts w:hint="eastAsia" w:ascii="仿宋_GB2312" w:hAnsi="仿宋" w:eastAsia="仿宋_GB2312" w:cstheme="minorBidi"/>
                <w:sz w:val="24"/>
              </w:rPr>
              <w:t>性能不可靠，影响治疗</w:t>
            </w:r>
          </w:p>
        </w:tc>
      </w:tr>
      <w:tr w14:paraId="45AD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92" w:type="dxa"/>
            <w:vMerge w:val="continue"/>
            <w:vAlign w:val="center"/>
          </w:tcPr>
          <w:p w14:paraId="165C4A56">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4E9FA2F8">
            <w:pPr>
              <w:spacing w:line="520" w:lineRule="exact"/>
              <w:ind w:firstLine="480"/>
              <w:jc w:val="center"/>
              <w:rPr>
                <w:rFonts w:ascii="仿宋_GB2312" w:hAnsi="仿宋" w:eastAsia="仿宋_GB2312" w:cstheme="minorBidi"/>
                <w:sz w:val="24"/>
              </w:rPr>
            </w:pPr>
            <w:r>
              <w:rPr>
                <w:rFonts w:hint="eastAsia" w:ascii="仿宋_GB2312" w:hAnsi="仿宋" w:eastAsia="仿宋_GB2312" w:cstheme="minorBidi"/>
                <w:sz w:val="24"/>
              </w:rPr>
              <w:t>工作组和备用组切换逻辑不能正常实施</w:t>
            </w:r>
          </w:p>
        </w:tc>
        <w:tc>
          <w:tcPr>
            <w:tcW w:w="4536" w:type="dxa"/>
            <w:vAlign w:val="center"/>
          </w:tcPr>
          <w:p w14:paraId="36F69FF1">
            <w:pPr>
              <w:spacing w:line="520" w:lineRule="exact"/>
              <w:jc w:val="center"/>
              <w:rPr>
                <w:rFonts w:ascii="仿宋_GB2312" w:hAnsi="仿宋" w:eastAsia="仿宋_GB2312" w:cstheme="minorBidi"/>
                <w:sz w:val="24"/>
              </w:rPr>
            </w:pPr>
            <w:r>
              <w:rPr>
                <w:rFonts w:hint="eastAsia" w:ascii="仿宋_GB2312" w:hAnsi="仿宋" w:eastAsia="仿宋_GB2312" w:cstheme="minorBidi"/>
                <w:sz w:val="24"/>
              </w:rPr>
              <w:t>导致</w:t>
            </w:r>
            <w:r>
              <w:rPr>
                <w:rFonts w:ascii="仿宋_GB2312" w:hAnsi="仿宋" w:eastAsia="仿宋_GB2312" w:cstheme="minorBidi"/>
                <w:sz w:val="24"/>
              </w:rPr>
              <w:t>性能指标不达标或设备损坏</w:t>
            </w:r>
          </w:p>
        </w:tc>
        <w:tc>
          <w:tcPr>
            <w:tcW w:w="3366" w:type="dxa"/>
            <w:vAlign w:val="center"/>
          </w:tcPr>
          <w:p w14:paraId="3E552B36">
            <w:pPr>
              <w:widowControl/>
              <w:spacing w:before="100" w:beforeAutospacing="1" w:after="100" w:afterAutospacing="1" w:line="156" w:lineRule="atLeast"/>
              <w:ind w:firstLine="480"/>
              <w:jc w:val="center"/>
              <w:rPr>
                <w:rFonts w:ascii="仿宋_GB2312" w:hAnsi="仿宋" w:eastAsia="仿宋_GB2312" w:cstheme="minorBidi"/>
                <w:sz w:val="24"/>
              </w:rPr>
            </w:pPr>
            <w:r>
              <w:rPr>
                <w:rFonts w:hint="eastAsia" w:ascii="仿宋_GB2312" w:hAnsi="仿宋" w:eastAsia="仿宋_GB2312" w:cstheme="minorBidi"/>
                <w:sz w:val="24"/>
              </w:rPr>
              <w:t>延误治疗</w:t>
            </w:r>
          </w:p>
        </w:tc>
      </w:tr>
      <w:tr w14:paraId="4ECB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082073BC">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3C0E9595">
            <w:pPr>
              <w:widowControl/>
              <w:spacing w:before="100" w:beforeAutospacing="1" w:after="100" w:afterAutospacing="1" w:line="156" w:lineRule="atLeas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管路、部件老化</w:t>
            </w:r>
          </w:p>
        </w:tc>
        <w:tc>
          <w:tcPr>
            <w:tcW w:w="4536" w:type="dxa"/>
            <w:vAlign w:val="center"/>
          </w:tcPr>
          <w:p w14:paraId="4DAEAE4F">
            <w:pPr>
              <w:widowControl/>
              <w:spacing w:before="100" w:beforeAutospacing="1" w:after="100" w:afterAutospacing="1" w:line="156" w:lineRule="atLeas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继续使用超过寿命期的仪器带来</w:t>
            </w:r>
          </w:p>
          <w:p w14:paraId="3A850EE2">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的使用危害</w:t>
            </w:r>
          </w:p>
        </w:tc>
        <w:tc>
          <w:tcPr>
            <w:tcW w:w="3366" w:type="dxa"/>
            <w:vAlign w:val="center"/>
          </w:tcPr>
          <w:p w14:paraId="69A4908D">
            <w:pPr>
              <w:widowControl/>
              <w:spacing w:before="100" w:beforeAutospacing="1" w:after="100" w:afterAutospacing="1" w:line="156" w:lineRule="atLeas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泄漏问题或监测不准致使延误治疗</w:t>
            </w:r>
          </w:p>
        </w:tc>
      </w:tr>
      <w:tr w14:paraId="5DDA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19E7F07C">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408F28FA">
            <w:pPr>
              <w:widowControl/>
              <w:spacing w:before="100" w:beforeAutospacing="1" w:after="100" w:afterAutospacing="1" w:line="156" w:lineRule="atLeas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电源故障</w:t>
            </w:r>
          </w:p>
        </w:tc>
        <w:tc>
          <w:tcPr>
            <w:tcW w:w="4536" w:type="dxa"/>
            <w:vAlign w:val="center"/>
          </w:tcPr>
          <w:p w14:paraId="76A07AFA">
            <w:pPr>
              <w:widowControl/>
              <w:spacing w:before="100" w:beforeAutospacing="1" w:after="100" w:afterAutospacing="1" w:line="156" w:lineRule="atLeas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可能导致电气部件的运行故障，导致供电中断</w:t>
            </w:r>
          </w:p>
        </w:tc>
        <w:tc>
          <w:tcPr>
            <w:tcW w:w="3366" w:type="dxa"/>
            <w:vAlign w:val="center"/>
          </w:tcPr>
          <w:p w14:paraId="602D11AE">
            <w:pPr>
              <w:widowControl/>
              <w:spacing w:before="100" w:beforeAutospacing="1" w:after="100" w:afterAutospacing="1" w:line="156" w:lineRule="atLeas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影响负压的供应连续性，造成供应故障</w:t>
            </w:r>
          </w:p>
        </w:tc>
      </w:tr>
      <w:tr w14:paraId="561E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26C1ACFA">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5E4F21E3">
            <w:pPr>
              <w:widowControl/>
              <w:spacing w:before="100" w:beforeAutospacing="1" w:after="100" w:afterAutospacing="1" w:line="156" w:lineRule="atLeas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医用真空管材清洗不完全</w:t>
            </w:r>
          </w:p>
        </w:tc>
        <w:tc>
          <w:tcPr>
            <w:tcW w:w="4536" w:type="dxa"/>
            <w:vAlign w:val="center"/>
          </w:tcPr>
          <w:p w14:paraId="7C7C5BE4">
            <w:pPr>
              <w:widowControl/>
              <w:spacing w:before="100" w:beforeAutospacing="1" w:after="100" w:afterAutospacing="1" w:line="156" w:lineRule="atLeas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进气端堵塞或者阀门卡死</w:t>
            </w:r>
          </w:p>
        </w:tc>
        <w:tc>
          <w:tcPr>
            <w:tcW w:w="3366" w:type="dxa"/>
            <w:vAlign w:val="center"/>
          </w:tcPr>
          <w:p w14:paraId="2A19B847">
            <w:pPr>
              <w:widowControl/>
              <w:spacing w:before="100" w:beforeAutospacing="1" w:after="100" w:afterAutospacing="1" w:line="156" w:lineRule="atLeas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流量不足，延误供应</w:t>
            </w:r>
          </w:p>
        </w:tc>
      </w:tr>
      <w:tr w14:paraId="7B05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vAlign w:val="center"/>
          </w:tcPr>
          <w:p w14:paraId="2FEFCFBE">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微生物危害</w:t>
            </w:r>
          </w:p>
        </w:tc>
        <w:tc>
          <w:tcPr>
            <w:tcW w:w="4612" w:type="dxa"/>
            <w:vAlign w:val="center"/>
          </w:tcPr>
          <w:p w14:paraId="4B21B164">
            <w:pPr>
              <w:widowControl/>
              <w:spacing w:before="100" w:beforeAutospacing="1" w:after="100" w:afterAutospacing="1" w:line="156" w:lineRule="atLeas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细菌过滤器失效</w:t>
            </w:r>
          </w:p>
        </w:tc>
        <w:tc>
          <w:tcPr>
            <w:tcW w:w="4536" w:type="dxa"/>
            <w:vAlign w:val="center"/>
          </w:tcPr>
          <w:p w14:paraId="2D97368C">
            <w:pPr>
              <w:spacing w:line="520" w:lineRule="exac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污染环境，污染真空泵</w:t>
            </w:r>
          </w:p>
        </w:tc>
        <w:tc>
          <w:tcPr>
            <w:tcW w:w="3366" w:type="dxa"/>
            <w:vAlign w:val="center"/>
          </w:tcPr>
          <w:p w14:paraId="0545EA09">
            <w:pPr>
              <w:spacing w:line="520" w:lineRule="exac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引发公共卫生安全事故</w:t>
            </w:r>
          </w:p>
        </w:tc>
      </w:tr>
      <w:tr w14:paraId="182A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47952629">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170100A9">
            <w:pPr>
              <w:widowControl/>
              <w:spacing w:before="100" w:beforeAutospacing="1" w:after="100" w:afterAutospacing="1" w:line="156" w:lineRule="atLeas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通过的部件、接头、管路泄漏</w:t>
            </w:r>
          </w:p>
        </w:tc>
        <w:tc>
          <w:tcPr>
            <w:tcW w:w="4536" w:type="dxa"/>
            <w:vAlign w:val="center"/>
          </w:tcPr>
          <w:p w14:paraId="49580145">
            <w:pPr>
              <w:spacing w:line="520" w:lineRule="exac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造成区域细菌污染以及终端处供应的不足或减少</w:t>
            </w:r>
          </w:p>
        </w:tc>
        <w:tc>
          <w:tcPr>
            <w:tcW w:w="3366" w:type="dxa"/>
            <w:vAlign w:val="center"/>
          </w:tcPr>
          <w:p w14:paraId="70722BF4">
            <w:pPr>
              <w:spacing w:line="520" w:lineRule="exact"/>
              <w:ind w:firstLine="480" w:firstLineChars="200"/>
              <w:jc w:val="center"/>
              <w:rPr>
                <w:rFonts w:ascii="仿宋_GB2312" w:hAnsi="仿宋" w:eastAsia="仿宋_GB2312" w:cstheme="minorBidi"/>
                <w:sz w:val="24"/>
              </w:rPr>
            </w:pPr>
            <w:r>
              <w:rPr>
                <w:rFonts w:ascii="仿宋_GB2312" w:hAnsi="仿宋" w:eastAsia="仿宋_GB2312" w:cstheme="minorBidi"/>
                <w:sz w:val="24"/>
              </w:rPr>
              <w:t>引发公共卫生安全事故</w:t>
            </w:r>
            <w:r>
              <w:rPr>
                <w:rFonts w:hint="eastAsia" w:ascii="仿宋_GB2312" w:hAnsi="仿宋" w:eastAsia="仿宋_GB2312" w:cstheme="minorBidi"/>
                <w:sz w:val="24"/>
              </w:rPr>
              <w:t>，并影响治疗</w:t>
            </w:r>
          </w:p>
        </w:tc>
      </w:tr>
      <w:tr w14:paraId="7B71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vAlign w:val="center"/>
          </w:tcPr>
          <w:p w14:paraId="6BB850A9">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使用操作危害</w:t>
            </w:r>
          </w:p>
        </w:tc>
        <w:tc>
          <w:tcPr>
            <w:tcW w:w="4612" w:type="dxa"/>
            <w:vAlign w:val="center"/>
          </w:tcPr>
          <w:p w14:paraId="3B265163">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对管道或部件的防腐蚀保护不当</w:t>
            </w:r>
          </w:p>
        </w:tc>
        <w:tc>
          <w:tcPr>
            <w:tcW w:w="4536" w:type="dxa"/>
            <w:vAlign w:val="center"/>
          </w:tcPr>
          <w:p w14:paraId="085CE06C">
            <w:pPr>
              <w:spacing w:line="520" w:lineRule="exac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管道或部件故障</w:t>
            </w:r>
          </w:p>
          <w:p w14:paraId="3377FA1A">
            <w:pPr>
              <w:spacing w:line="520" w:lineRule="exact"/>
              <w:ind w:firstLine="480" w:firstLineChars="200"/>
              <w:jc w:val="center"/>
              <w:rPr>
                <w:rFonts w:ascii="仿宋_GB2312" w:hAnsi="仿宋" w:eastAsia="仿宋_GB2312" w:cs="Times New Roman"/>
                <w:sz w:val="24"/>
              </w:rPr>
            </w:pPr>
            <w:r>
              <w:rPr>
                <w:rFonts w:hint="eastAsia" w:ascii="仿宋_GB2312" w:hAnsi="仿宋" w:eastAsia="仿宋_GB2312" w:cstheme="minorBidi"/>
                <w:sz w:val="24"/>
              </w:rPr>
              <w:t>泄漏</w:t>
            </w:r>
          </w:p>
        </w:tc>
        <w:tc>
          <w:tcPr>
            <w:tcW w:w="3366" w:type="dxa"/>
            <w:vAlign w:val="center"/>
          </w:tcPr>
          <w:p w14:paraId="03079B2A">
            <w:pPr>
              <w:spacing w:line="520" w:lineRule="exac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影响负压的供应连续性</w:t>
            </w:r>
          </w:p>
        </w:tc>
      </w:tr>
      <w:tr w14:paraId="7488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4CC23343">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10EB549B">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真空电磁阀、止回阀关闭不严</w:t>
            </w:r>
          </w:p>
        </w:tc>
        <w:tc>
          <w:tcPr>
            <w:tcW w:w="4536" w:type="dxa"/>
            <w:vAlign w:val="center"/>
          </w:tcPr>
          <w:p w14:paraId="4F52EAD9">
            <w:pPr>
              <w:spacing w:line="520" w:lineRule="exac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遇到紧急情况时不能及时隔离和维护</w:t>
            </w:r>
          </w:p>
        </w:tc>
        <w:tc>
          <w:tcPr>
            <w:tcW w:w="3366" w:type="dxa"/>
            <w:vAlign w:val="center"/>
          </w:tcPr>
          <w:p w14:paraId="187AD7D2">
            <w:pPr>
              <w:spacing w:line="520" w:lineRule="exac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维护困难 负压不足</w:t>
            </w:r>
          </w:p>
        </w:tc>
      </w:tr>
      <w:tr w14:paraId="486B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78EA4D46">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192C7E40">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油润旋片式真空泵等未定期换油</w:t>
            </w:r>
          </w:p>
        </w:tc>
        <w:tc>
          <w:tcPr>
            <w:tcW w:w="4536" w:type="dxa"/>
            <w:vAlign w:val="center"/>
          </w:tcPr>
          <w:p w14:paraId="6826EA42">
            <w:pPr>
              <w:spacing w:line="520" w:lineRule="exac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真空泵不能正常工作</w:t>
            </w:r>
          </w:p>
        </w:tc>
        <w:tc>
          <w:tcPr>
            <w:tcW w:w="3366" w:type="dxa"/>
            <w:vAlign w:val="center"/>
          </w:tcPr>
          <w:p w14:paraId="7B2C1027">
            <w:pPr>
              <w:spacing w:line="520" w:lineRule="exac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影响负压的供应连续性</w:t>
            </w:r>
          </w:p>
        </w:tc>
      </w:tr>
      <w:tr w14:paraId="5B35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1DC221BA">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7A9DF3B3">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真空泵温度过高</w:t>
            </w:r>
          </w:p>
        </w:tc>
        <w:tc>
          <w:tcPr>
            <w:tcW w:w="4536" w:type="dxa"/>
            <w:vAlign w:val="center"/>
          </w:tcPr>
          <w:p w14:paraId="61D7DD78">
            <w:pPr>
              <w:spacing w:line="520" w:lineRule="exac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真空泵不能正常工作</w:t>
            </w:r>
          </w:p>
        </w:tc>
        <w:tc>
          <w:tcPr>
            <w:tcW w:w="3366" w:type="dxa"/>
            <w:vAlign w:val="center"/>
          </w:tcPr>
          <w:p w14:paraId="4553F154">
            <w:pPr>
              <w:spacing w:line="520" w:lineRule="exac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造成供应故障</w:t>
            </w:r>
          </w:p>
        </w:tc>
      </w:tr>
      <w:tr w14:paraId="74E7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2888BA26">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4A46441A">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集污罐未定期清理</w:t>
            </w:r>
          </w:p>
        </w:tc>
        <w:tc>
          <w:tcPr>
            <w:tcW w:w="4536" w:type="dxa"/>
            <w:vAlign w:val="center"/>
          </w:tcPr>
          <w:p w14:paraId="41885D3D">
            <w:pPr>
              <w:spacing w:line="520" w:lineRule="exac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吸引不畅</w:t>
            </w:r>
          </w:p>
        </w:tc>
        <w:tc>
          <w:tcPr>
            <w:tcW w:w="3366" w:type="dxa"/>
            <w:vAlign w:val="center"/>
          </w:tcPr>
          <w:p w14:paraId="50DAC441">
            <w:pPr>
              <w:spacing w:line="520" w:lineRule="exac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影响负压性能</w:t>
            </w:r>
          </w:p>
        </w:tc>
      </w:tr>
      <w:tr w14:paraId="4EA4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0CD25171">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3101B3D1">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未采用与插座配套的气体插头</w:t>
            </w:r>
          </w:p>
        </w:tc>
        <w:tc>
          <w:tcPr>
            <w:tcW w:w="4536" w:type="dxa"/>
            <w:vAlign w:val="center"/>
          </w:tcPr>
          <w:p w14:paraId="038BC092">
            <w:pPr>
              <w:spacing w:line="520" w:lineRule="exac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其它气体的插头插入吸引终端</w:t>
            </w:r>
          </w:p>
        </w:tc>
        <w:tc>
          <w:tcPr>
            <w:tcW w:w="3366" w:type="dxa"/>
            <w:vAlign w:val="center"/>
          </w:tcPr>
          <w:p w14:paraId="6526636A">
            <w:pPr>
              <w:spacing w:line="520" w:lineRule="exact"/>
              <w:ind w:firstLine="480" w:firstLineChars="200"/>
              <w:jc w:val="center"/>
              <w:rPr>
                <w:rFonts w:ascii="仿宋_GB2312" w:hAnsi="仿宋" w:eastAsia="仿宋_GB2312" w:cstheme="minorBidi"/>
                <w:sz w:val="24"/>
              </w:rPr>
            </w:pPr>
            <w:r>
              <w:rPr>
                <w:rFonts w:hint="eastAsia" w:ascii="仿宋_GB2312" w:hAnsi="仿宋" w:eastAsia="仿宋_GB2312" w:cstheme="minorBidi"/>
                <w:sz w:val="24"/>
              </w:rPr>
              <w:t>延误治疗</w:t>
            </w:r>
          </w:p>
        </w:tc>
      </w:tr>
      <w:tr w14:paraId="4C57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3A4030F6">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6D654D5D">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设备拆卸后未能正确组装，如细菌过滤器、吸引</w:t>
            </w:r>
            <w:r>
              <w:rPr>
                <w:rFonts w:ascii="仿宋_GB2312" w:hAnsi="仿宋" w:eastAsia="仿宋_GB2312" w:cstheme="minorBidi"/>
                <w:sz w:val="24"/>
              </w:rPr>
              <w:t>管道的错误连接，未在使用前进行功能测试</w:t>
            </w:r>
          </w:p>
        </w:tc>
        <w:tc>
          <w:tcPr>
            <w:tcW w:w="4536" w:type="dxa"/>
            <w:vAlign w:val="center"/>
          </w:tcPr>
          <w:p w14:paraId="3CFA2689">
            <w:pPr>
              <w:widowControl/>
              <w:spacing w:before="100" w:beforeAutospacing="1" w:after="100" w:afterAutospacing="1" w:line="156" w:lineRule="atLeast"/>
              <w:jc w:val="center"/>
              <w:rPr>
                <w:rFonts w:ascii="仿宋_GB2312" w:hAnsi="仿宋" w:eastAsia="仿宋_GB2312" w:cstheme="minorBidi"/>
                <w:sz w:val="24"/>
              </w:rPr>
            </w:pPr>
            <w:r>
              <w:rPr>
                <w:rFonts w:ascii="仿宋_GB2312" w:hAnsi="仿宋" w:eastAsia="仿宋_GB2312" w:cstheme="minorBidi"/>
                <w:sz w:val="24"/>
              </w:rPr>
              <w:t>出现无法正常吸引</w:t>
            </w:r>
          </w:p>
        </w:tc>
        <w:tc>
          <w:tcPr>
            <w:tcW w:w="3366" w:type="dxa"/>
            <w:vAlign w:val="center"/>
          </w:tcPr>
          <w:p w14:paraId="39AE9AD3">
            <w:pPr>
              <w:widowControl/>
              <w:spacing w:before="100" w:beforeAutospacing="1" w:after="100" w:afterAutospacing="1" w:line="156" w:lineRule="atLeast"/>
              <w:jc w:val="center"/>
              <w:rPr>
                <w:rFonts w:ascii="仿宋_GB2312" w:hAnsi="仿宋" w:eastAsia="仿宋_GB2312" w:cstheme="minorBidi"/>
                <w:sz w:val="24"/>
              </w:rPr>
            </w:pPr>
            <w:r>
              <w:rPr>
                <w:rFonts w:ascii="仿宋_GB2312" w:hAnsi="仿宋" w:eastAsia="仿宋_GB2312" w:cstheme="minorBidi"/>
                <w:sz w:val="24"/>
              </w:rPr>
              <w:t>导致液体</w:t>
            </w:r>
            <w:r>
              <w:rPr>
                <w:rFonts w:hint="eastAsia" w:ascii="仿宋_GB2312" w:hAnsi="仿宋" w:eastAsia="仿宋_GB2312" w:cstheme="minorBidi"/>
                <w:sz w:val="24"/>
              </w:rPr>
              <w:t>、</w:t>
            </w:r>
            <w:r>
              <w:rPr>
                <w:rFonts w:ascii="仿宋_GB2312" w:hAnsi="仿宋" w:eastAsia="仿宋_GB2312" w:cstheme="minorBidi"/>
                <w:sz w:val="24"/>
              </w:rPr>
              <w:t>固体</w:t>
            </w:r>
            <w:r>
              <w:rPr>
                <w:rFonts w:hint="eastAsia" w:ascii="仿宋_GB2312" w:hAnsi="仿宋" w:eastAsia="仿宋_GB2312" w:cstheme="minorBidi"/>
                <w:sz w:val="24"/>
              </w:rPr>
              <w:t>、</w:t>
            </w:r>
            <w:r>
              <w:rPr>
                <w:rFonts w:ascii="仿宋_GB2312" w:hAnsi="仿宋" w:eastAsia="仿宋_GB2312" w:cstheme="minorBidi"/>
                <w:sz w:val="24"/>
              </w:rPr>
              <w:t>细菌溢出，进入</w:t>
            </w:r>
            <w:r>
              <w:rPr>
                <w:rFonts w:hint="eastAsia" w:ascii="仿宋_GB2312" w:hAnsi="仿宋" w:eastAsia="仿宋_GB2312" w:cstheme="minorBidi"/>
                <w:sz w:val="24"/>
              </w:rPr>
              <w:t>空间</w:t>
            </w:r>
            <w:r>
              <w:rPr>
                <w:rFonts w:ascii="仿宋_GB2312" w:hAnsi="仿宋" w:eastAsia="仿宋_GB2312" w:cstheme="minorBidi"/>
                <w:sz w:val="24"/>
              </w:rPr>
              <w:t>环境</w:t>
            </w:r>
          </w:p>
        </w:tc>
      </w:tr>
      <w:tr w14:paraId="7C0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4B3F2D90">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7BB95D9F">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未做好颜色及接口区别的吸引端口容易插错</w:t>
            </w:r>
          </w:p>
        </w:tc>
        <w:tc>
          <w:tcPr>
            <w:tcW w:w="4536" w:type="dxa"/>
            <w:vAlign w:val="center"/>
          </w:tcPr>
          <w:p w14:paraId="6A3D986F">
            <w:pPr>
              <w:widowControl/>
              <w:spacing w:before="100" w:beforeAutospacing="1" w:after="100" w:afterAutospacing="1" w:line="156" w:lineRule="atLeast"/>
              <w:jc w:val="center"/>
              <w:rPr>
                <w:rFonts w:ascii="仿宋_GB2312" w:hAnsi="仿宋" w:eastAsia="仿宋_GB2312" w:cstheme="minorBidi"/>
                <w:sz w:val="24"/>
              </w:rPr>
            </w:pPr>
            <w:r>
              <w:rPr>
                <w:rFonts w:ascii="仿宋_GB2312" w:hAnsi="仿宋" w:eastAsia="仿宋_GB2312" w:cstheme="minorBidi"/>
                <w:sz w:val="24"/>
              </w:rPr>
              <w:t>可能导致在急救的紧急状况下，</w:t>
            </w:r>
            <w:r>
              <w:rPr>
                <w:rFonts w:hint="eastAsia" w:ascii="仿宋_GB2312" w:hAnsi="仿宋" w:eastAsia="仿宋_GB2312" w:cstheme="minorBidi"/>
                <w:sz w:val="24"/>
              </w:rPr>
              <w:t>供应</w:t>
            </w:r>
            <w:r>
              <w:rPr>
                <w:rFonts w:ascii="仿宋_GB2312" w:hAnsi="仿宋" w:eastAsia="仿宋_GB2312" w:cstheme="minorBidi"/>
                <w:sz w:val="24"/>
              </w:rPr>
              <w:t>和吸引的使用出现插错</w:t>
            </w:r>
          </w:p>
        </w:tc>
        <w:tc>
          <w:tcPr>
            <w:tcW w:w="3366" w:type="dxa"/>
            <w:vAlign w:val="center"/>
          </w:tcPr>
          <w:p w14:paraId="6DA0F56C">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正、负压错误，连接医疗设备损坏或对病患造成伤害。</w:t>
            </w:r>
          </w:p>
        </w:tc>
      </w:tr>
      <w:tr w14:paraId="7E12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43095A17">
            <w:pPr>
              <w:widowControl/>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6192467F">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在排气口加装过滤装置、加热装置、消毒装置</w:t>
            </w:r>
          </w:p>
        </w:tc>
        <w:tc>
          <w:tcPr>
            <w:tcW w:w="4536" w:type="dxa"/>
            <w:vAlign w:val="center"/>
          </w:tcPr>
          <w:p w14:paraId="68895BBD">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排气阻力变大</w:t>
            </w:r>
          </w:p>
        </w:tc>
        <w:tc>
          <w:tcPr>
            <w:tcW w:w="3366" w:type="dxa"/>
            <w:vAlign w:val="center"/>
          </w:tcPr>
          <w:p w14:paraId="0CBF6F81">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可能导致真空泵产生严重故障</w:t>
            </w:r>
          </w:p>
        </w:tc>
      </w:tr>
      <w:tr w14:paraId="135F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92" w:type="dxa"/>
            <w:vAlign w:val="center"/>
          </w:tcPr>
          <w:p w14:paraId="78D9FA3E">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软件风险</w:t>
            </w:r>
          </w:p>
        </w:tc>
        <w:tc>
          <w:tcPr>
            <w:tcW w:w="4612" w:type="dxa"/>
            <w:vAlign w:val="center"/>
          </w:tcPr>
          <w:p w14:paraId="6A6FE104">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软件或网络异常，导致系统无法正常运行</w:t>
            </w:r>
          </w:p>
        </w:tc>
        <w:tc>
          <w:tcPr>
            <w:tcW w:w="4536" w:type="dxa"/>
            <w:vAlign w:val="center"/>
          </w:tcPr>
          <w:p w14:paraId="3C7B0283">
            <w:pPr>
              <w:widowControl/>
              <w:spacing w:before="100" w:beforeAutospacing="1" w:after="100" w:afterAutospacing="1" w:line="156" w:lineRule="atLeast"/>
              <w:jc w:val="center"/>
              <w:rPr>
                <w:rFonts w:ascii="仿宋_GB2312" w:hAnsi="仿宋" w:eastAsia="仿宋_GB2312" w:cstheme="minorBidi"/>
                <w:sz w:val="24"/>
              </w:rPr>
            </w:pPr>
            <w:r>
              <w:rPr>
                <w:rFonts w:ascii="仿宋_GB2312" w:hAnsi="仿宋" w:eastAsia="仿宋_GB2312" w:cstheme="minorBidi"/>
                <w:sz w:val="24"/>
              </w:rPr>
              <w:t>不能实现</w:t>
            </w:r>
            <w:r>
              <w:rPr>
                <w:rFonts w:hint="eastAsia" w:ascii="仿宋_GB2312" w:hAnsi="仿宋" w:eastAsia="仿宋_GB2312" w:cstheme="minorBidi"/>
                <w:sz w:val="24"/>
              </w:rPr>
              <w:t>相关</w:t>
            </w:r>
            <w:r>
              <w:rPr>
                <w:rFonts w:ascii="仿宋_GB2312" w:hAnsi="仿宋" w:eastAsia="仿宋_GB2312" w:cstheme="minorBidi"/>
                <w:sz w:val="24"/>
              </w:rPr>
              <w:t>参数的监测、</w:t>
            </w:r>
            <w:r>
              <w:rPr>
                <w:rFonts w:hint="eastAsia" w:ascii="仿宋_GB2312" w:hAnsi="仿宋" w:eastAsia="仿宋_GB2312" w:cstheme="minorBidi"/>
                <w:sz w:val="24"/>
              </w:rPr>
              <w:t>控制或报警</w:t>
            </w:r>
          </w:p>
        </w:tc>
        <w:tc>
          <w:tcPr>
            <w:tcW w:w="3366" w:type="dxa"/>
            <w:vAlign w:val="center"/>
          </w:tcPr>
          <w:p w14:paraId="478412E0">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设备性能不可靠，影响治疗</w:t>
            </w:r>
          </w:p>
        </w:tc>
      </w:tr>
      <w:tr w14:paraId="7F03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vAlign w:val="center"/>
          </w:tcPr>
          <w:p w14:paraId="3A399C6E">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信息危害</w:t>
            </w:r>
          </w:p>
          <w:p w14:paraId="7C489EB6">
            <w:pPr>
              <w:widowControl/>
              <w:adjustRightInd w:val="0"/>
              <w:snapToGrid w:val="0"/>
              <w:spacing w:before="100" w:beforeAutospacing="1" w:after="100" w:afterAutospacing="1" w:line="156" w:lineRule="atLeast"/>
              <w:jc w:val="center"/>
              <w:rPr>
                <w:rFonts w:ascii="仿宋_GB2312" w:hAnsi="仿宋" w:eastAsia="仿宋_GB2312" w:cstheme="minorBidi"/>
                <w:sz w:val="24"/>
              </w:rPr>
            </w:pPr>
          </w:p>
        </w:tc>
        <w:tc>
          <w:tcPr>
            <w:tcW w:w="4612" w:type="dxa"/>
            <w:vAlign w:val="center"/>
          </w:tcPr>
          <w:p w14:paraId="3F45D103">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未规定校验周期</w:t>
            </w:r>
          </w:p>
        </w:tc>
        <w:tc>
          <w:tcPr>
            <w:tcW w:w="4536" w:type="dxa"/>
            <w:vAlign w:val="center"/>
          </w:tcPr>
          <w:p w14:paraId="6B03295A">
            <w:pPr>
              <w:widowControl/>
              <w:spacing w:before="100" w:beforeAutospacing="1" w:after="100" w:afterAutospacing="1" w:line="156" w:lineRule="atLeast"/>
              <w:jc w:val="center"/>
              <w:rPr>
                <w:rFonts w:ascii="仿宋_GB2312" w:hAnsi="仿宋" w:eastAsia="仿宋_GB2312" w:cs="Times New Roman"/>
                <w:sz w:val="24"/>
              </w:rPr>
            </w:pPr>
            <w:r>
              <w:rPr>
                <w:rFonts w:ascii="仿宋_GB2312" w:hAnsi="仿宋" w:eastAsia="仿宋_GB2312" w:cstheme="minorBidi"/>
                <w:sz w:val="24"/>
              </w:rPr>
              <w:t>可能出现</w:t>
            </w:r>
            <w:r>
              <w:rPr>
                <w:rFonts w:hint="eastAsia" w:ascii="仿宋_GB2312" w:hAnsi="仿宋" w:eastAsia="仿宋_GB2312" w:cstheme="minorBidi"/>
                <w:sz w:val="24"/>
              </w:rPr>
              <w:t>真空</w:t>
            </w:r>
            <w:r>
              <w:rPr>
                <w:rFonts w:ascii="仿宋_GB2312" w:hAnsi="仿宋" w:eastAsia="仿宋_GB2312" w:cstheme="minorBidi"/>
                <w:sz w:val="24"/>
              </w:rPr>
              <w:t>表及二次仪表测量值偏差</w:t>
            </w:r>
          </w:p>
        </w:tc>
        <w:tc>
          <w:tcPr>
            <w:tcW w:w="3366" w:type="dxa"/>
            <w:vAlign w:val="center"/>
          </w:tcPr>
          <w:p w14:paraId="6475F4DD">
            <w:pPr>
              <w:widowControl/>
              <w:spacing w:before="100" w:beforeAutospacing="1" w:after="100" w:afterAutospacing="1" w:line="156" w:lineRule="atLeast"/>
              <w:jc w:val="center"/>
              <w:rPr>
                <w:rFonts w:ascii="仿宋_GB2312" w:hAnsi="仿宋" w:eastAsia="仿宋_GB2312" w:cstheme="minorBidi"/>
                <w:sz w:val="24"/>
              </w:rPr>
            </w:pPr>
            <w:r>
              <w:rPr>
                <w:rFonts w:ascii="仿宋_GB2312" w:hAnsi="仿宋" w:eastAsia="仿宋_GB2312" w:cstheme="minorBidi"/>
                <w:sz w:val="24"/>
              </w:rPr>
              <w:t>导致不正确的</w:t>
            </w:r>
            <w:r>
              <w:rPr>
                <w:rFonts w:hint="eastAsia" w:ascii="仿宋_GB2312" w:hAnsi="仿宋" w:eastAsia="仿宋_GB2312" w:cstheme="minorBidi"/>
                <w:sz w:val="24"/>
              </w:rPr>
              <w:t>数据</w:t>
            </w:r>
            <w:r>
              <w:rPr>
                <w:rFonts w:ascii="仿宋_GB2312" w:hAnsi="仿宋" w:eastAsia="仿宋_GB2312" w:cstheme="minorBidi"/>
                <w:sz w:val="24"/>
              </w:rPr>
              <w:t>输出</w:t>
            </w:r>
            <w:r>
              <w:rPr>
                <w:rFonts w:hint="eastAsia" w:ascii="仿宋_GB2312" w:hAnsi="仿宋" w:eastAsia="仿宋_GB2312" w:cstheme="minorBidi"/>
                <w:sz w:val="24"/>
              </w:rPr>
              <w:t>，</w:t>
            </w:r>
            <w:r>
              <w:rPr>
                <w:rFonts w:ascii="仿宋_GB2312" w:hAnsi="仿宋" w:eastAsia="仿宋_GB2312" w:cstheme="minorBidi"/>
                <w:sz w:val="24"/>
              </w:rPr>
              <w:t>设备误动作</w:t>
            </w:r>
          </w:p>
        </w:tc>
      </w:tr>
      <w:tr w14:paraId="00AC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491B2CA8">
            <w:pPr>
              <w:widowControl/>
              <w:spacing w:before="100" w:beforeAutospacing="1" w:after="100" w:afterAutospacing="1" w:line="156" w:lineRule="atLeast"/>
              <w:ind w:firstLine="480"/>
              <w:jc w:val="center"/>
              <w:rPr>
                <w:rFonts w:ascii="仿宋_GB2312" w:hAnsi="仿宋" w:eastAsia="仿宋_GB2312" w:cstheme="minorBidi"/>
                <w:sz w:val="24"/>
              </w:rPr>
            </w:pPr>
          </w:p>
        </w:tc>
        <w:tc>
          <w:tcPr>
            <w:tcW w:w="4612" w:type="dxa"/>
            <w:vAlign w:val="center"/>
          </w:tcPr>
          <w:p w14:paraId="1D0A4A74">
            <w:pPr>
              <w:widowControl/>
              <w:spacing w:before="100" w:beforeAutospacing="1" w:after="100" w:afterAutospacing="1" w:line="156" w:lineRule="atLeast"/>
              <w:ind w:firstLine="480"/>
              <w:jc w:val="center"/>
              <w:rPr>
                <w:rFonts w:ascii="仿宋_GB2312" w:hAnsi="仿宋" w:eastAsia="仿宋_GB2312" w:cstheme="minorBidi"/>
                <w:sz w:val="24"/>
              </w:rPr>
            </w:pPr>
            <w:r>
              <w:rPr>
                <w:rFonts w:hint="eastAsia" w:ascii="仿宋_GB2312" w:hAnsi="仿宋" w:eastAsia="仿宋_GB2312" w:cstheme="minorBidi"/>
                <w:sz w:val="24"/>
              </w:rPr>
              <w:t>未能适当的进行安全信息提供</w:t>
            </w:r>
          </w:p>
        </w:tc>
        <w:tc>
          <w:tcPr>
            <w:tcW w:w="4536" w:type="dxa"/>
            <w:vAlign w:val="center"/>
          </w:tcPr>
          <w:p w14:paraId="7B5BBBA6">
            <w:pPr>
              <w:widowControl/>
              <w:spacing w:before="100" w:beforeAutospacing="1" w:after="100" w:afterAutospacing="1" w:line="156" w:lineRule="atLeast"/>
              <w:ind w:firstLine="480"/>
              <w:jc w:val="center"/>
              <w:rPr>
                <w:rFonts w:ascii="仿宋_GB2312" w:hAnsi="仿宋" w:eastAsia="仿宋_GB2312" w:cstheme="minorBidi"/>
                <w:sz w:val="24"/>
              </w:rPr>
            </w:pPr>
            <w:r>
              <w:rPr>
                <w:rFonts w:hint="eastAsia" w:ascii="仿宋_GB2312" w:hAnsi="仿宋" w:eastAsia="仿宋_GB2312" w:cstheme="minorBidi"/>
                <w:sz w:val="24"/>
              </w:rPr>
              <w:t>操作不当，产生安全问题</w:t>
            </w:r>
          </w:p>
        </w:tc>
        <w:tc>
          <w:tcPr>
            <w:tcW w:w="3366" w:type="dxa"/>
            <w:vAlign w:val="center"/>
          </w:tcPr>
          <w:p w14:paraId="16174328">
            <w:pPr>
              <w:widowControl/>
              <w:spacing w:before="100" w:beforeAutospacing="1" w:after="100" w:afterAutospacing="1" w:line="156" w:lineRule="atLeast"/>
              <w:ind w:firstLine="480"/>
              <w:jc w:val="center"/>
              <w:rPr>
                <w:rFonts w:ascii="仿宋_GB2312" w:hAnsi="仿宋" w:eastAsia="仿宋_GB2312" w:cstheme="minorBidi"/>
                <w:sz w:val="24"/>
              </w:rPr>
            </w:pPr>
            <w:r>
              <w:rPr>
                <w:rFonts w:hint="eastAsia" w:ascii="仿宋_GB2312" w:hAnsi="仿宋" w:eastAsia="仿宋_GB2312" w:cstheme="minorBidi"/>
                <w:sz w:val="24"/>
              </w:rPr>
              <w:t>对人员损伤等事故,严重时死亡</w:t>
            </w:r>
          </w:p>
        </w:tc>
      </w:tr>
      <w:tr w14:paraId="4710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14:paraId="4E6FBBDA">
            <w:pPr>
              <w:widowControl/>
              <w:spacing w:before="100" w:beforeAutospacing="1" w:after="100" w:afterAutospacing="1" w:line="156" w:lineRule="atLeast"/>
              <w:ind w:firstLine="480"/>
              <w:jc w:val="center"/>
              <w:rPr>
                <w:rFonts w:ascii="仿宋_GB2312" w:hAnsi="仿宋" w:eastAsia="仿宋_GB2312" w:cstheme="minorBidi"/>
                <w:sz w:val="24"/>
              </w:rPr>
            </w:pPr>
          </w:p>
        </w:tc>
        <w:tc>
          <w:tcPr>
            <w:tcW w:w="4612" w:type="dxa"/>
            <w:vAlign w:val="center"/>
          </w:tcPr>
          <w:p w14:paraId="10FD8A62">
            <w:pPr>
              <w:widowControl/>
              <w:spacing w:before="100" w:beforeAutospacing="1" w:after="100" w:afterAutospacing="1" w:line="156" w:lineRule="atLeast"/>
              <w:ind w:firstLine="480"/>
              <w:jc w:val="center"/>
              <w:rPr>
                <w:rFonts w:ascii="仿宋_GB2312" w:hAnsi="仿宋" w:eastAsia="仿宋_GB2312" w:cstheme="minorBidi"/>
                <w:sz w:val="24"/>
              </w:rPr>
            </w:pPr>
            <w:r>
              <w:rPr>
                <w:rFonts w:hint="eastAsia" w:ascii="仿宋_GB2312" w:hAnsi="仿宋" w:eastAsia="仿宋_GB2312" w:cstheme="minorBidi"/>
                <w:sz w:val="24"/>
              </w:rPr>
              <w:t>液晶屏显示监测信息，信息显示不清</w:t>
            </w:r>
          </w:p>
        </w:tc>
        <w:tc>
          <w:tcPr>
            <w:tcW w:w="4536" w:type="dxa"/>
            <w:vAlign w:val="center"/>
          </w:tcPr>
          <w:p w14:paraId="43FBAD4E">
            <w:pPr>
              <w:widowControl/>
              <w:spacing w:before="100" w:beforeAutospacing="1" w:after="100" w:afterAutospacing="1" w:line="156" w:lineRule="atLeast"/>
              <w:ind w:firstLine="480"/>
              <w:jc w:val="center"/>
              <w:rPr>
                <w:rFonts w:ascii="仿宋_GB2312" w:hAnsi="仿宋" w:eastAsia="仿宋_GB2312" w:cstheme="minorBidi"/>
                <w:sz w:val="24"/>
              </w:rPr>
            </w:pPr>
            <w:r>
              <w:rPr>
                <w:rFonts w:hint="eastAsia" w:ascii="仿宋_GB2312" w:hAnsi="仿宋" w:eastAsia="仿宋_GB2312" w:cstheme="minorBidi"/>
                <w:sz w:val="24"/>
              </w:rPr>
              <w:t>监测测量不准</w:t>
            </w:r>
          </w:p>
        </w:tc>
        <w:tc>
          <w:tcPr>
            <w:tcW w:w="3366" w:type="dxa"/>
            <w:vAlign w:val="center"/>
          </w:tcPr>
          <w:p w14:paraId="588CBE08">
            <w:pPr>
              <w:widowControl/>
              <w:spacing w:before="100" w:beforeAutospacing="1" w:after="100" w:afterAutospacing="1" w:line="156" w:lineRule="atLeast"/>
              <w:ind w:firstLine="480"/>
              <w:jc w:val="center"/>
              <w:rPr>
                <w:rFonts w:ascii="仿宋_GB2312" w:hAnsi="仿宋" w:eastAsia="仿宋_GB2312" w:cstheme="minorBidi"/>
                <w:sz w:val="24"/>
              </w:rPr>
            </w:pPr>
            <w:r>
              <w:rPr>
                <w:rFonts w:hint="eastAsia" w:ascii="仿宋_GB2312" w:hAnsi="仿宋" w:eastAsia="仿宋_GB2312" w:cstheme="minorBidi"/>
                <w:sz w:val="24"/>
              </w:rPr>
              <w:t>延误治疗或错误治疗</w:t>
            </w:r>
          </w:p>
        </w:tc>
      </w:tr>
      <w:tr w14:paraId="7814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14:paraId="7A282A55">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不正确的</w:t>
            </w:r>
          </w:p>
          <w:p w14:paraId="379C8E55">
            <w:pPr>
              <w:widowControl/>
              <w:adjustRightInd w:val="0"/>
              <w:snapToGrid w:val="0"/>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指示</w:t>
            </w:r>
          </w:p>
        </w:tc>
        <w:tc>
          <w:tcPr>
            <w:tcW w:w="4612" w:type="dxa"/>
            <w:vAlign w:val="center"/>
          </w:tcPr>
          <w:p w14:paraId="23484654">
            <w:pPr>
              <w:widowControl/>
              <w:spacing w:before="100" w:beforeAutospacing="1" w:after="100" w:afterAutospacing="1" w:line="156" w:lineRule="atLeast"/>
              <w:jc w:val="center"/>
              <w:rPr>
                <w:rFonts w:ascii="仿宋_GB2312" w:hAnsi="仿宋" w:eastAsia="仿宋_GB2312" w:cs="Times New Roman"/>
                <w:sz w:val="24"/>
              </w:rPr>
            </w:pPr>
            <w:r>
              <w:rPr>
                <w:rFonts w:hint="eastAsia" w:ascii="仿宋_GB2312" w:hAnsi="仿宋" w:eastAsia="仿宋_GB2312" w:cstheme="minorBidi"/>
                <w:sz w:val="24"/>
              </w:rPr>
              <w:t>真空表及二次仪表指示失真或者损坏</w:t>
            </w:r>
          </w:p>
        </w:tc>
        <w:tc>
          <w:tcPr>
            <w:tcW w:w="4536" w:type="dxa"/>
            <w:vAlign w:val="center"/>
          </w:tcPr>
          <w:p w14:paraId="1F9C84DD">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出现压力输出偏差，导致输出过高或过低的真空压力</w:t>
            </w:r>
          </w:p>
        </w:tc>
        <w:tc>
          <w:tcPr>
            <w:tcW w:w="3366" w:type="dxa"/>
            <w:vAlign w:val="center"/>
          </w:tcPr>
          <w:p w14:paraId="0E736648">
            <w:pPr>
              <w:widowControl/>
              <w:spacing w:before="100" w:beforeAutospacing="1" w:after="100" w:afterAutospacing="1" w:line="156" w:lineRule="atLeast"/>
              <w:jc w:val="center"/>
              <w:rPr>
                <w:rFonts w:ascii="仿宋_GB2312" w:hAnsi="仿宋" w:eastAsia="仿宋_GB2312" w:cstheme="minorBidi"/>
                <w:sz w:val="24"/>
              </w:rPr>
            </w:pPr>
            <w:r>
              <w:rPr>
                <w:rFonts w:hint="eastAsia" w:ascii="仿宋_GB2312" w:hAnsi="仿宋" w:eastAsia="仿宋_GB2312" w:cstheme="minorBidi"/>
                <w:sz w:val="24"/>
              </w:rPr>
              <w:t>影响治疗</w:t>
            </w:r>
          </w:p>
        </w:tc>
      </w:tr>
    </w:tbl>
    <w:p w14:paraId="130FB405">
      <w:pPr>
        <w:spacing w:line="520" w:lineRule="exact"/>
        <w:ind w:firstLine="640" w:firstLineChars="200"/>
        <w:rPr>
          <w:rFonts w:eastAsia="仿宋_GB2312"/>
          <w:sz w:val="32"/>
          <w:szCs w:val="32"/>
        </w:rPr>
        <w:sectPr>
          <w:pgSz w:w="16838" w:h="11906" w:orient="landscape"/>
          <w:pgMar w:top="1588" w:right="2098" w:bottom="1588" w:left="2098" w:header="851" w:footer="992" w:gutter="0"/>
          <w:pgBorders w:offsetFrom="page">
            <w:top w:val="single" w:color="FFFFFF" w:sz="8" w:space="24"/>
            <w:left w:val="single" w:color="FFFFFF" w:sz="8" w:space="24"/>
            <w:bottom w:val="single" w:color="FFFFFF" w:sz="8" w:space="24"/>
            <w:right w:val="single" w:color="FFFFFF" w:sz="8" w:space="24"/>
          </w:pgBorders>
          <w:cols w:space="425" w:num="1"/>
          <w:docGrid w:type="lines" w:linePitch="312" w:charSpace="0"/>
        </w:sectPr>
      </w:pPr>
    </w:p>
    <w:p w14:paraId="2E33ADEB">
      <w:pPr>
        <w:spacing w:line="520" w:lineRule="exact"/>
        <w:ind w:firstLine="640" w:firstLineChars="200"/>
        <w:outlineLvl w:val="1"/>
        <w:rPr>
          <w:rFonts w:eastAsia="仿宋_GB2312"/>
          <w:sz w:val="32"/>
          <w:szCs w:val="32"/>
        </w:rPr>
      </w:pPr>
      <w:r>
        <w:rPr>
          <w:rFonts w:eastAsia="仿宋_GB2312"/>
          <w:sz w:val="32"/>
          <w:szCs w:val="32"/>
        </w:rPr>
        <w:t>2.产品技术要求应包括的主要性能指标</w:t>
      </w:r>
    </w:p>
    <w:p w14:paraId="7C2C14BA">
      <w:pPr>
        <w:spacing w:line="520" w:lineRule="exact"/>
        <w:ind w:firstLine="640" w:firstLineChars="200"/>
        <w:rPr>
          <w:rFonts w:eastAsia="仿宋_GB2312"/>
          <w:sz w:val="32"/>
          <w:szCs w:val="32"/>
        </w:rPr>
      </w:pPr>
      <w:r>
        <w:rPr>
          <w:rFonts w:eastAsia="仿宋_GB2312"/>
          <w:sz w:val="32"/>
          <w:szCs w:val="32"/>
        </w:rPr>
        <w:t>本指导原则列出医用中心吸引系统可能涉及的重要性能参数，注册申请人可根据自身产品的技术特点制定性能指标的具体要求。若产品具有其他部件或功能，应符合相应国家标准和行业标准要求。</w:t>
      </w:r>
    </w:p>
    <w:p w14:paraId="404E31F7">
      <w:pPr>
        <w:spacing w:line="520" w:lineRule="exact"/>
        <w:ind w:firstLine="640" w:firstLineChars="200"/>
        <w:rPr>
          <w:rFonts w:eastAsia="黑体"/>
          <w:sz w:val="28"/>
          <w:szCs w:val="28"/>
        </w:rPr>
      </w:pPr>
      <w:r>
        <w:rPr>
          <w:rFonts w:hint="eastAsia" w:eastAsia="仿宋_GB2312"/>
          <w:sz w:val="32"/>
          <w:szCs w:val="32"/>
        </w:rPr>
        <w:t>若有医用中心吸引系统适用的相关标准修订</w:t>
      </w:r>
      <w:r>
        <w:rPr>
          <w:rFonts w:eastAsia="仿宋_GB2312"/>
          <w:sz w:val="32"/>
          <w:szCs w:val="32"/>
        </w:rPr>
        <w:t>/</w:t>
      </w:r>
      <w:r>
        <w:rPr>
          <w:rFonts w:hint="eastAsia" w:eastAsia="仿宋_GB2312"/>
          <w:sz w:val="32"/>
          <w:szCs w:val="32"/>
        </w:rPr>
        <w:t>发布实施的，应符合现行有效标准要求。</w:t>
      </w:r>
    </w:p>
    <w:p w14:paraId="01EBE0F9">
      <w:pPr>
        <w:spacing w:line="520" w:lineRule="exact"/>
        <w:ind w:firstLine="640" w:firstLineChars="200"/>
        <w:rPr>
          <w:rFonts w:eastAsia="仿宋_GB2312"/>
          <w:sz w:val="32"/>
          <w:szCs w:val="28"/>
        </w:rPr>
      </w:pPr>
      <w:r>
        <w:rPr>
          <w:rFonts w:eastAsia="仿宋_GB2312"/>
          <w:sz w:val="32"/>
          <w:szCs w:val="28"/>
        </w:rPr>
        <w:t>2.1主要</w:t>
      </w:r>
      <w:r>
        <w:rPr>
          <w:rFonts w:hint="eastAsia" w:eastAsia="仿宋_GB2312"/>
          <w:sz w:val="32"/>
          <w:szCs w:val="28"/>
        </w:rPr>
        <w:t>性能</w:t>
      </w:r>
      <w:r>
        <w:rPr>
          <w:rFonts w:eastAsia="仿宋_GB2312"/>
          <w:sz w:val="32"/>
          <w:szCs w:val="28"/>
        </w:rPr>
        <w:t>指标</w:t>
      </w:r>
    </w:p>
    <w:p w14:paraId="3B176C2B">
      <w:pPr>
        <w:spacing w:line="520" w:lineRule="exact"/>
        <w:ind w:firstLine="640" w:firstLineChars="200"/>
        <w:rPr>
          <w:rFonts w:eastAsia="仿宋_GB2312"/>
          <w:sz w:val="32"/>
          <w:szCs w:val="28"/>
        </w:rPr>
      </w:pPr>
      <w:r>
        <w:rPr>
          <w:rFonts w:eastAsia="仿宋_GB2312"/>
          <w:sz w:val="32"/>
          <w:szCs w:val="28"/>
        </w:rPr>
        <w:t>2.1.1</w:t>
      </w:r>
      <w:r>
        <w:rPr>
          <w:rFonts w:hint="eastAsia" w:eastAsia="仿宋_GB2312"/>
          <w:sz w:val="32"/>
          <w:szCs w:val="28"/>
        </w:rPr>
        <w:t>标称压力范围</w:t>
      </w:r>
    </w:p>
    <w:p w14:paraId="1FBCB95F">
      <w:pPr>
        <w:spacing w:line="520" w:lineRule="exact"/>
        <w:ind w:firstLine="640" w:firstLineChars="200"/>
        <w:rPr>
          <w:rFonts w:eastAsia="仿宋_GB2312"/>
          <w:color w:val="FF0000"/>
          <w:sz w:val="32"/>
          <w:szCs w:val="28"/>
        </w:rPr>
      </w:pPr>
      <w:r>
        <w:rPr>
          <w:rFonts w:eastAsia="仿宋_GB2312"/>
          <w:sz w:val="32"/>
          <w:szCs w:val="28"/>
        </w:rPr>
        <w:t>2.1.</w:t>
      </w:r>
      <w:r>
        <w:rPr>
          <w:rFonts w:hint="eastAsia" w:eastAsia="仿宋_GB2312"/>
          <w:sz w:val="32"/>
          <w:szCs w:val="28"/>
        </w:rPr>
        <w:t>2真空泵抽气量</w:t>
      </w:r>
    </w:p>
    <w:p w14:paraId="077CCD3B">
      <w:pPr>
        <w:spacing w:line="520" w:lineRule="exact"/>
        <w:ind w:firstLine="640" w:firstLineChars="200"/>
        <w:rPr>
          <w:rFonts w:eastAsia="仿宋_GB2312"/>
          <w:color w:val="0000FF"/>
          <w:sz w:val="32"/>
          <w:szCs w:val="28"/>
        </w:rPr>
      </w:pPr>
      <w:r>
        <w:rPr>
          <w:rFonts w:eastAsia="仿宋_GB2312"/>
          <w:sz w:val="32"/>
          <w:szCs w:val="28"/>
        </w:rPr>
        <w:t>2.1.</w:t>
      </w:r>
      <w:r>
        <w:rPr>
          <w:rFonts w:hint="eastAsia" w:eastAsia="仿宋_GB2312"/>
          <w:sz w:val="32"/>
          <w:szCs w:val="28"/>
        </w:rPr>
        <w:t>3</w:t>
      </w:r>
      <w:r>
        <w:rPr>
          <w:rFonts w:eastAsia="仿宋_GB2312"/>
          <w:sz w:val="32"/>
          <w:szCs w:val="28"/>
        </w:rPr>
        <w:t>应符合GB/T44059.1</w:t>
      </w:r>
      <w:r>
        <w:rPr>
          <w:rFonts w:hint="eastAsia" w:eastAsia="仿宋_GB2312"/>
          <w:sz w:val="32"/>
          <w:szCs w:val="28"/>
        </w:rPr>
        <w:t>《医用气体管道系统第</w:t>
      </w:r>
      <w:r>
        <w:rPr>
          <w:rFonts w:eastAsia="仿宋_GB2312"/>
          <w:sz w:val="32"/>
          <w:szCs w:val="28"/>
        </w:rPr>
        <w:t>1</w:t>
      </w:r>
      <w:r>
        <w:rPr>
          <w:rFonts w:hint="eastAsia" w:eastAsia="仿宋_GB2312"/>
          <w:sz w:val="32"/>
          <w:szCs w:val="28"/>
        </w:rPr>
        <w:t>部分：压缩医用气体和真空用管道系统》的要求。</w:t>
      </w:r>
    </w:p>
    <w:p w14:paraId="67322621">
      <w:pPr>
        <w:spacing w:line="520" w:lineRule="exact"/>
        <w:ind w:firstLine="640" w:firstLineChars="200"/>
        <w:rPr>
          <w:rFonts w:eastAsia="仿宋_GB2312"/>
          <w:sz w:val="32"/>
          <w:szCs w:val="28"/>
        </w:rPr>
      </w:pPr>
      <w:r>
        <w:rPr>
          <w:rFonts w:eastAsia="仿宋_GB2312"/>
          <w:sz w:val="32"/>
          <w:szCs w:val="28"/>
        </w:rPr>
        <w:t>2.1.</w:t>
      </w:r>
      <w:r>
        <w:rPr>
          <w:rFonts w:hint="eastAsia" w:eastAsia="仿宋_GB2312"/>
          <w:sz w:val="32"/>
          <w:szCs w:val="28"/>
        </w:rPr>
        <w:t>4应符合GB 50751《</w:t>
      </w:r>
      <w:r>
        <w:rPr>
          <w:rFonts w:eastAsia="仿宋_GB2312"/>
          <w:color w:val="000000"/>
          <w:sz w:val="32"/>
          <w:szCs w:val="32"/>
        </w:rPr>
        <w:t>医用气体工程技术规范</w:t>
      </w:r>
      <w:r>
        <w:rPr>
          <w:rFonts w:hint="eastAsia" w:eastAsia="仿宋_GB2312"/>
          <w:color w:val="000000"/>
          <w:sz w:val="32"/>
          <w:szCs w:val="32"/>
        </w:rPr>
        <w:t>》</w:t>
      </w:r>
      <w:r>
        <w:rPr>
          <w:rFonts w:hint="eastAsia" w:eastAsia="仿宋_GB2312"/>
          <w:sz w:val="32"/>
          <w:szCs w:val="28"/>
        </w:rPr>
        <w:t>中强制性条款</w:t>
      </w:r>
      <w:r>
        <w:rPr>
          <w:rFonts w:eastAsia="仿宋_GB2312"/>
          <w:sz w:val="32"/>
          <w:szCs w:val="28"/>
        </w:rPr>
        <w:t>4.4.1</w:t>
      </w:r>
      <w:r>
        <w:rPr>
          <w:rFonts w:hint="eastAsia" w:eastAsia="仿宋_GB2312"/>
          <w:sz w:val="32"/>
          <w:szCs w:val="28"/>
        </w:rPr>
        <w:t>（</w:t>
      </w:r>
      <w:r>
        <w:rPr>
          <w:rFonts w:eastAsia="仿宋_GB2312"/>
          <w:sz w:val="32"/>
          <w:szCs w:val="28"/>
        </w:rPr>
        <w:t>4</w:t>
      </w:r>
      <w:r>
        <w:rPr>
          <w:rFonts w:hint="eastAsia" w:eastAsia="仿宋_GB2312"/>
          <w:sz w:val="32"/>
          <w:szCs w:val="28"/>
        </w:rPr>
        <w:t>）、</w:t>
      </w:r>
      <w:r>
        <w:rPr>
          <w:rFonts w:eastAsia="仿宋_GB2312"/>
          <w:sz w:val="32"/>
          <w:szCs w:val="28"/>
        </w:rPr>
        <w:t>5.2.1</w:t>
      </w:r>
      <w:r>
        <w:rPr>
          <w:rFonts w:hint="eastAsia" w:eastAsia="仿宋_GB2312"/>
          <w:sz w:val="32"/>
          <w:szCs w:val="28"/>
        </w:rPr>
        <w:t>、</w:t>
      </w:r>
      <w:r>
        <w:rPr>
          <w:rFonts w:eastAsia="仿宋_GB2312"/>
          <w:sz w:val="32"/>
          <w:szCs w:val="28"/>
        </w:rPr>
        <w:t>10.2.17的要求</w:t>
      </w:r>
      <w:r>
        <w:rPr>
          <w:rFonts w:hint="eastAsia" w:eastAsia="仿宋_GB2312"/>
          <w:sz w:val="32"/>
          <w:szCs w:val="28"/>
        </w:rPr>
        <w:t>。</w:t>
      </w:r>
    </w:p>
    <w:p w14:paraId="579B79A9">
      <w:pPr>
        <w:spacing w:line="520" w:lineRule="exact"/>
        <w:ind w:firstLine="640" w:firstLineChars="200"/>
        <w:rPr>
          <w:rFonts w:eastAsia="仿宋_GB2312"/>
          <w:sz w:val="32"/>
          <w:szCs w:val="28"/>
        </w:rPr>
      </w:pPr>
      <w:r>
        <w:rPr>
          <w:rFonts w:eastAsia="仿宋_GB2312"/>
          <w:sz w:val="32"/>
          <w:szCs w:val="28"/>
        </w:rPr>
        <w:t>GB 50751</w:t>
      </w:r>
      <w:r>
        <w:rPr>
          <w:rFonts w:hint="eastAsia" w:eastAsia="仿宋_GB2312"/>
          <w:sz w:val="32"/>
          <w:szCs w:val="28"/>
        </w:rPr>
        <w:t>中涉及施工的</w:t>
      </w:r>
      <w:r>
        <w:rPr>
          <w:rFonts w:eastAsia="仿宋_GB2312"/>
          <w:sz w:val="32"/>
          <w:szCs w:val="28"/>
        </w:rPr>
        <w:t>4.4.1</w:t>
      </w:r>
      <w:r>
        <w:rPr>
          <w:rFonts w:hint="eastAsia" w:eastAsia="仿宋_GB2312"/>
          <w:sz w:val="32"/>
          <w:szCs w:val="28"/>
        </w:rPr>
        <w:t>（</w:t>
      </w:r>
      <w:r>
        <w:rPr>
          <w:rFonts w:eastAsia="仿宋_GB2312"/>
          <w:sz w:val="32"/>
          <w:szCs w:val="28"/>
        </w:rPr>
        <w:t>1</w:t>
      </w:r>
      <w:r>
        <w:rPr>
          <w:rFonts w:hint="eastAsia" w:eastAsia="仿宋_GB2312"/>
          <w:sz w:val="32"/>
          <w:szCs w:val="28"/>
        </w:rPr>
        <w:t>）、</w:t>
      </w:r>
      <w:r>
        <w:rPr>
          <w:rFonts w:eastAsia="仿宋_GB2312"/>
          <w:sz w:val="32"/>
          <w:szCs w:val="28"/>
        </w:rPr>
        <w:t>4.4.7</w:t>
      </w:r>
      <w:r>
        <w:rPr>
          <w:rFonts w:hint="eastAsia" w:eastAsia="仿宋_GB2312"/>
          <w:sz w:val="32"/>
          <w:szCs w:val="28"/>
        </w:rPr>
        <w:t>、</w:t>
      </w:r>
      <w:r>
        <w:rPr>
          <w:rFonts w:eastAsia="仿宋_GB2312"/>
          <w:sz w:val="32"/>
          <w:szCs w:val="28"/>
        </w:rPr>
        <w:t>10.1.4</w:t>
      </w:r>
      <w:r>
        <w:rPr>
          <w:rFonts w:hint="eastAsia" w:eastAsia="仿宋_GB2312"/>
          <w:sz w:val="32"/>
          <w:szCs w:val="28"/>
        </w:rPr>
        <w:t>（</w:t>
      </w:r>
      <w:r>
        <w:rPr>
          <w:rFonts w:eastAsia="仿宋_GB2312"/>
          <w:sz w:val="32"/>
          <w:szCs w:val="28"/>
        </w:rPr>
        <w:t>3</w:t>
      </w:r>
      <w:r>
        <w:rPr>
          <w:rFonts w:hint="eastAsia" w:eastAsia="仿宋_GB2312"/>
          <w:sz w:val="32"/>
          <w:szCs w:val="28"/>
        </w:rPr>
        <w:t>）的要求应体现在产品说明书中。</w:t>
      </w:r>
    </w:p>
    <w:p w14:paraId="489E47F3">
      <w:pPr>
        <w:spacing w:line="520" w:lineRule="exact"/>
        <w:ind w:firstLine="640" w:firstLineChars="200"/>
        <w:rPr>
          <w:rFonts w:eastAsia="仿宋_GB2312"/>
          <w:sz w:val="32"/>
          <w:szCs w:val="28"/>
        </w:rPr>
      </w:pPr>
      <w:r>
        <w:rPr>
          <w:rFonts w:eastAsia="仿宋_GB2312"/>
          <w:sz w:val="32"/>
          <w:szCs w:val="28"/>
        </w:rPr>
        <w:t>2.1.</w:t>
      </w:r>
      <w:r>
        <w:rPr>
          <w:rFonts w:hint="eastAsia" w:eastAsia="仿宋_GB2312"/>
          <w:sz w:val="32"/>
          <w:szCs w:val="28"/>
        </w:rPr>
        <w:t>5</w:t>
      </w:r>
      <w:r>
        <w:rPr>
          <w:rFonts w:eastAsia="仿宋_GB2312"/>
          <w:sz w:val="32"/>
          <w:szCs w:val="28"/>
        </w:rPr>
        <w:t>医用吸引管道系统</w:t>
      </w:r>
      <w:r>
        <w:rPr>
          <w:rFonts w:hint="eastAsia" w:eastAsia="仿宋_GB2312"/>
          <w:sz w:val="32"/>
          <w:szCs w:val="28"/>
        </w:rPr>
        <w:t>终端</w:t>
      </w:r>
      <w:r>
        <w:rPr>
          <w:rFonts w:eastAsia="仿宋_GB2312"/>
          <w:sz w:val="32"/>
          <w:szCs w:val="28"/>
        </w:rPr>
        <w:t>应符合YY</w:t>
      </w:r>
      <w:r>
        <w:rPr>
          <w:rFonts w:hint="eastAsia" w:eastAsia="仿宋_GB2312"/>
          <w:sz w:val="32"/>
          <w:szCs w:val="28"/>
        </w:rPr>
        <w:t>/T</w:t>
      </w:r>
      <w:r>
        <w:rPr>
          <w:rFonts w:eastAsia="仿宋_GB2312"/>
          <w:sz w:val="32"/>
          <w:szCs w:val="28"/>
        </w:rPr>
        <w:t xml:space="preserve"> 0801.1</w:t>
      </w:r>
      <w:r>
        <w:rPr>
          <w:rFonts w:hint="eastAsia" w:eastAsia="仿宋_GB2312"/>
          <w:sz w:val="32"/>
          <w:szCs w:val="28"/>
        </w:rPr>
        <w:t>《医用气体管道系统终端第1部分：用于压缩医用气体和真空的终端》</w:t>
      </w:r>
      <w:r>
        <w:rPr>
          <w:rFonts w:eastAsia="仿宋_GB2312"/>
          <w:sz w:val="32"/>
          <w:szCs w:val="28"/>
        </w:rPr>
        <w:t>的要求。</w:t>
      </w:r>
    </w:p>
    <w:p w14:paraId="586BB8D6">
      <w:pPr>
        <w:spacing w:line="520" w:lineRule="exact"/>
        <w:ind w:firstLine="640" w:firstLineChars="200"/>
        <w:rPr>
          <w:rFonts w:eastAsia="仿宋_GB2312"/>
          <w:color w:val="FF0000"/>
          <w:sz w:val="32"/>
          <w:szCs w:val="28"/>
        </w:rPr>
      </w:pPr>
      <w:r>
        <w:rPr>
          <w:rFonts w:eastAsia="仿宋_GB2312"/>
          <w:sz w:val="32"/>
          <w:szCs w:val="28"/>
        </w:rPr>
        <w:t>2.1.</w:t>
      </w:r>
      <w:r>
        <w:rPr>
          <w:rFonts w:hint="eastAsia" w:eastAsia="仿宋_GB2312"/>
          <w:sz w:val="32"/>
          <w:szCs w:val="28"/>
        </w:rPr>
        <w:t>6医用气体低压软管组件应符合</w:t>
      </w:r>
      <w:r>
        <w:rPr>
          <w:rFonts w:eastAsia="仿宋_GB2312"/>
          <w:sz w:val="32"/>
          <w:szCs w:val="28"/>
        </w:rPr>
        <w:t>YY/T 0799</w:t>
      </w:r>
      <w:r>
        <w:rPr>
          <w:rFonts w:hint="eastAsia" w:eastAsia="仿宋_GB2312"/>
          <w:sz w:val="32"/>
          <w:szCs w:val="28"/>
        </w:rPr>
        <w:t>《医用气体低压软管组件》的要求（如适用）。</w:t>
      </w:r>
    </w:p>
    <w:p w14:paraId="5989B54C">
      <w:pPr>
        <w:spacing w:line="520" w:lineRule="exact"/>
        <w:ind w:firstLine="640" w:firstLineChars="200"/>
        <w:rPr>
          <w:rFonts w:eastAsia="仿宋_GB2312"/>
          <w:sz w:val="32"/>
          <w:szCs w:val="28"/>
        </w:rPr>
      </w:pPr>
      <w:r>
        <w:rPr>
          <w:rFonts w:eastAsia="仿宋_GB2312"/>
          <w:sz w:val="32"/>
          <w:szCs w:val="28"/>
        </w:rPr>
        <w:t>2.</w:t>
      </w:r>
      <w:r>
        <w:rPr>
          <w:rFonts w:hint="eastAsia" w:eastAsia="仿宋_GB2312"/>
          <w:sz w:val="32"/>
          <w:szCs w:val="28"/>
        </w:rPr>
        <w:t>2</w:t>
      </w:r>
      <w:r>
        <w:rPr>
          <w:rFonts w:eastAsia="仿宋_GB2312"/>
          <w:sz w:val="32"/>
          <w:szCs w:val="28"/>
        </w:rPr>
        <w:t>软件功能</w:t>
      </w:r>
    </w:p>
    <w:p w14:paraId="4BF7DC45">
      <w:pPr>
        <w:spacing w:line="520" w:lineRule="exact"/>
        <w:ind w:firstLine="640" w:firstLineChars="200"/>
        <w:rPr>
          <w:rFonts w:eastAsia="仿宋_GB2312"/>
          <w:sz w:val="32"/>
          <w:szCs w:val="28"/>
        </w:rPr>
      </w:pPr>
      <w:r>
        <w:rPr>
          <w:rFonts w:eastAsia="仿宋_GB2312"/>
          <w:sz w:val="32"/>
          <w:szCs w:val="32"/>
        </w:rPr>
        <w:t>应符合《医疗器械软件注册审查指导原则（2022年修订版）》第九章注册申报资料补充说明中关于产品技术要求性能指标的建议内容。</w:t>
      </w:r>
    </w:p>
    <w:p w14:paraId="5E07E357">
      <w:pPr>
        <w:spacing w:line="520" w:lineRule="exact"/>
        <w:ind w:firstLine="640" w:firstLineChars="200"/>
        <w:rPr>
          <w:rFonts w:eastAsia="仿宋_GB2312"/>
          <w:sz w:val="32"/>
          <w:szCs w:val="28"/>
        </w:rPr>
      </w:pPr>
      <w:r>
        <w:rPr>
          <w:rFonts w:eastAsia="仿宋_GB2312"/>
          <w:sz w:val="32"/>
          <w:szCs w:val="28"/>
        </w:rPr>
        <w:t>2.</w:t>
      </w:r>
      <w:r>
        <w:rPr>
          <w:rFonts w:hint="eastAsia" w:eastAsia="仿宋_GB2312"/>
          <w:sz w:val="32"/>
          <w:szCs w:val="28"/>
        </w:rPr>
        <w:t>3</w:t>
      </w:r>
      <w:r>
        <w:rPr>
          <w:rFonts w:eastAsia="仿宋_GB2312"/>
          <w:sz w:val="32"/>
          <w:szCs w:val="28"/>
        </w:rPr>
        <w:t>安全要求</w:t>
      </w:r>
    </w:p>
    <w:p w14:paraId="71C880F1">
      <w:pPr>
        <w:spacing w:line="520" w:lineRule="exact"/>
        <w:ind w:firstLine="640" w:firstLineChars="200"/>
        <w:rPr>
          <w:rFonts w:eastAsia="仿宋_GB2312"/>
          <w:sz w:val="32"/>
          <w:szCs w:val="28"/>
        </w:rPr>
      </w:pPr>
      <w:r>
        <w:rPr>
          <w:rFonts w:eastAsia="仿宋_GB2312"/>
          <w:sz w:val="32"/>
          <w:szCs w:val="28"/>
        </w:rPr>
        <w:t>电气安全应符合GB9706.1，电磁兼容应符合YY 9706.102的要求。</w:t>
      </w:r>
    </w:p>
    <w:p w14:paraId="7D56F327">
      <w:pPr>
        <w:spacing w:line="520" w:lineRule="exact"/>
        <w:ind w:firstLine="640" w:firstLineChars="200"/>
        <w:rPr>
          <w:rFonts w:eastAsia="仿宋_GB2312"/>
          <w:sz w:val="32"/>
          <w:szCs w:val="28"/>
        </w:rPr>
      </w:pPr>
      <w:r>
        <w:rPr>
          <w:rFonts w:eastAsia="仿宋_GB2312"/>
          <w:sz w:val="32"/>
          <w:szCs w:val="28"/>
        </w:rPr>
        <w:t>2.</w:t>
      </w:r>
      <w:r>
        <w:rPr>
          <w:rFonts w:hint="eastAsia" w:eastAsia="仿宋_GB2312"/>
          <w:sz w:val="32"/>
          <w:szCs w:val="28"/>
        </w:rPr>
        <w:t>4其他说明</w:t>
      </w:r>
    </w:p>
    <w:p w14:paraId="265A0CF0">
      <w:pPr>
        <w:spacing w:line="520" w:lineRule="exact"/>
        <w:ind w:firstLine="640" w:firstLineChars="200"/>
        <w:rPr>
          <w:rFonts w:eastAsia="仿宋_GB2312"/>
          <w:sz w:val="32"/>
          <w:szCs w:val="28"/>
        </w:rPr>
      </w:pPr>
      <w:r>
        <w:rPr>
          <w:rFonts w:hint="eastAsia" w:eastAsia="仿宋_GB2312"/>
          <w:sz w:val="32"/>
          <w:szCs w:val="28"/>
        </w:rPr>
        <w:t>在</w:t>
      </w:r>
      <w:r>
        <w:rPr>
          <w:rFonts w:eastAsia="仿宋_GB2312"/>
          <w:sz w:val="32"/>
          <w:szCs w:val="28"/>
        </w:rPr>
        <w:t>GB/T 44059.1</w:t>
      </w:r>
      <w:r>
        <w:rPr>
          <w:rFonts w:hint="eastAsia" w:eastAsia="仿宋_GB2312"/>
          <w:sz w:val="32"/>
          <w:szCs w:val="28"/>
        </w:rPr>
        <w:t>实施前，若产品技术要求中不执行</w:t>
      </w:r>
      <w:r>
        <w:rPr>
          <w:rFonts w:eastAsia="仿宋_GB2312"/>
          <w:sz w:val="32"/>
          <w:szCs w:val="28"/>
        </w:rPr>
        <w:t>GB/T 44059.1</w:t>
      </w:r>
      <w:r>
        <w:rPr>
          <w:rFonts w:hint="eastAsia" w:eastAsia="仿宋_GB2312"/>
          <w:sz w:val="32"/>
          <w:szCs w:val="28"/>
        </w:rPr>
        <w:t>的要求，则应符合</w:t>
      </w:r>
      <w:r>
        <w:rPr>
          <w:rFonts w:eastAsia="仿宋_GB2312"/>
          <w:sz w:val="32"/>
          <w:szCs w:val="28"/>
        </w:rPr>
        <w:t>YY/T 0186</w:t>
      </w:r>
      <w:r>
        <w:rPr>
          <w:rFonts w:hint="eastAsia" w:eastAsia="仿宋_GB2312"/>
          <w:sz w:val="32"/>
          <w:szCs w:val="28"/>
        </w:rPr>
        <w:t>及</w:t>
      </w:r>
      <w:r>
        <w:rPr>
          <w:rFonts w:eastAsia="仿宋_GB2312"/>
          <w:sz w:val="32"/>
          <w:szCs w:val="28"/>
        </w:rPr>
        <w:t>GB 50751</w:t>
      </w:r>
      <w:r>
        <w:rPr>
          <w:rFonts w:hint="eastAsia" w:eastAsia="仿宋_GB2312"/>
          <w:sz w:val="32"/>
          <w:szCs w:val="28"/>
        </w:rPr>
        <w:t>的相关要求，具体如下：</w:t>
      </w:r>
    </w:p>
    <w:p w14:paraId="68DBA2D4">
      <w:pPr>
        <w:spacing w:line="520" w:lineRule="exact"/>
        <w:ind w:firstLine="640" w:firstLineChars="200"/>
        <w:rPr>
          <w:rFonts w:eastAsia="仿宋_GB2312"/>
          <w:sz w:val="32"/>
          <w:szCs w:val="28"/>
        </w:rPr>
      </w:pPr>
      <w:r>
        <w:rPr>
          <w:rFonts w:eastAsia="仿宋_GB2312"/>
          <w:sz w:val="32"/>
          <w:szCs w:val="28"/>
        </w:rPr>
        <w:t>2.4.1</w:t>
      </w:r>
      <w:r>
        <w:rPr>
          <w:rFonts w:hint="eastAsia" w:eastAsia="仿宋_GB2312"/>
          <w:sz w:val="32"/>
          <w:szCs w:val="28"/>
        </w:rPr>
        <w:t>应符合</w:t>
      </w:r>
      <w:r>
        <w:rPr>
          <w:rFonts w:eastAsia="仿宋_GB2312"/>
          <w:sz w:val="32"/>
          <w:szCs w:val="28"/>
        </w:rPr>
        <w:t>YY/T 0186</w:t>
      </w:r>
      <w:r>
        <w:rPr>
          <w:rFonts w:hint="eastAsia" w:eastAsia="仿宋_GB2312"/>
          <w:sz w:val="32"/>
          <w:szCs w:val="32"/>
        </w:rPr>
        <w:t>的相关要求，</w:t>
      </w:r>
      <w:r>
        <w:rPr>
          <w:rFonts w:hint="eastAsia" w:eastAsia="仿宋_GB2312"/>
          <w:sz w:val="32"/>
          <w:szCs w:val="28"/>
        </w:rPr>
        <w:t>涉及</w:t>
      </w:r>
      <w:r>
        <w:rPr>
          <w:rFonts w:eastAsia="仿宋_GB2312"/>
          <w:sz w:val="32"/>
          <w:szCs w:val="28"/>
        </w:rPr>
        <w:t>YY/T 0186</w:t>
      </w:r>
      <w:r>
        <w:rPr>
          <w:rFonts w:hint="eastAsia" w:eastAsia="仿宋_GB2312"/>
          <w:sz w:val="32"/>
          <w:szCs w:val="28"/>
        </w:rPr>
        <w:t>的</w:t>
      </w:r>
      <w:r>
        <w:rPr>
          <w:rFonts w:eastAsia="仿宋_GB2312"/>
          <w:sz w:val="32"/>
          <w:szCs w:val="28"/>
        </w:rPr>
        <w:t>4.2.3</w:t>
      </w:r>
      <w:r>
        <w:rPr>
          <w:rFonts w:hint="eastAsia" w:eastAsia="仿宋_GB2312"/>
          <w:sz w:val="32"/>
          <w:szCs w:val="28"/>
        </w:rPr>
        <w:t>要求时，应在性能指标或检验方法中明确备用机组的启动条件，</w:t>
      </w:r>
      <w:r>
        <w:rPr>
          <w:rFonts w:hint="eastAsia" w:eastAsia="仿宋_GB2312"/>
          <w:kern w:val="0"/>
          <w:sz w:val="32"/>
          <w:szCs w:val="32"/>
        </w:rPr>
        <w:t>明确模拟工作真空泵故障状态的操作方法。</w:t>
      </w:r>
    </w:p>
    <w:p w14:paraId="2BE77137">
      <w:pPr>
        <w:spacing w:line="520" w:lineRule="exact"/>
        <w:ind w:firstLine="640" w:firstLineChars="200"/>
        <w:rPr>
          <w:rFonts w:eastAsia="仿宋_GB2312"/>
          <w:b/>
          <w:color w:val="548DD4" w:themeColor="text2" w:themeTint="99"/>
          <w:sz w:val="32"/>
          <w:szCs w:val="28"/>
        </w:rPr>
      </w:pPr>
      <w:r>
        <w:rPr>
          <w:rFonts w:hint="eastAsia" w:eastAsia="仿宋_GB2312"/>
          <w:sz w:val="32"/>
          <w:szCs w:val="28"/>
        </w:rPr>
        <w:t>2.4.2气源报警器应符合</w:t>
      </w:r>
      <w:r>
        <w:rPr>
          <w:rFonts w:eastAsia="仿宋_GB2312"/>
          <w:sz w:val="32"/>
          <w:szCs w:val="28"/>
        </w:rPr>
        <w:t>GB 50751</w:t>
      </w:r>
      <w:r>
        <w:rPr>
          <w:rFonts w:hint="eastAsia" w:eastAsia="仿宋_GB2312"/>
          <w:sz w:val="32"/>
          <w:szCs w:val="28"/>
        </w:rPr>
        <w:t>第7部分（医用气体系统监测报警）的要求。</w:t>
      </w:r>
    </w:p>
    <w:p w14:paraId="44078EF2">
      <w:pPr>
        <w:spacing w:line="520" w:lineRule="exact"/>
        <w:ind w:firstLine="640" w:firstLineChars="200"/>
        <w:rPr>
          <w:rFonts w:eastAsia="仿宋_GB2312"/>
          <w:sz w:val="32"/>
          <w:szCs w:val="28"/>
        </w:rPr>
      </w:pPr>
      <w:r>
        <w:rPr>
          <w:rFonts w:hint="eastAsia" w:eastAsia="仿宋_GB2312"/>
          <w:sz w:val="32"/>
          <w:szCs w:val="28"/>
        </w:rPr>
        <w:t>2.4.3区域报警器应符合</w:t>
      </w:r>
      <w:r>
        <w:rPr>
          <w:rFonts w:eastAsia="仿宋_GB2312"/>
          <w:sz w:val="32"/>
          <w:szCs w:val="28"/>
        </w:rPr>
        <w:t>YY9706.108</w:t>
      </w:r>
      <w:r>
        <w:rPr>
          <w:rFonts w:hint="eastAsia" w:eastAsia="仿宋_GB2312"/>
          <w:sz w:val="32"/>
          <w:szCs w:val="28"/>
        </w:rPr>
        <w:t>的要求。</w:t>
      </w:r>
    </w:p>
    <w:p w14:paraId="72A6141D">
      <w:pPr>
        <w:spacing w:line="520" w:lineRule="exact"/>
        <w:ind w:firstLine="640" w:firstLineChars="200"/>
        <w:rPr>
          <w:rFonts w:eastAsia="仿宋_GB2312"/>
          <w:sz w:val="32"/>
          <w:szCs w:val="28"/>
        </w:rPr>
      </w:pPr>
      <w:r>
        <w:rPr>
          <w:rFonts w:hint="eastAsia" w:eastAsia="仿宋_GB2312"/>
          <w:sz w:val="32"/>
          <w:szCs w:val="28"/>
        </w:rPr>
        <w:t>2.4.4细菌过滤器应符合GB 50751中5.2.16的要求。</w:t>
      </w:r>
    </w:p>
    <w:p w14:paraId="1B22AB1B">
      <w:pPr>
        <w:spacing w:line="520" w:lineRule="exact"/>
        <w:ind w:firstLine="640" w:firstLineChars="200"/>
        <w:rPr>
          <w:rFonts w:eastAsia="仿宋_GB2312"/>
          <w:sz w:val="32"/>
          <w:szCs w:val="28"/>
        </w:rPr>
      </w:pPr>
      <w:r>
        <w:rPr>
          <w:rFonts w:hint="eastAsia" w:eastAsia="仿宋_GB2312"/>
          <w:sz w:val="32"/>
          <w:szCs w:val="28"/>
        </w:rPr>
        <w:t>2.4.5应符合GB 50751中强制性条款</w:t>
      </w:r>
      <w:r>
        <w:rPr>
          <w:rFonts w:eastAsia="仿宋_GB2312"/>
          <w:sz w:val="32"/>
          <w:szCs w:val="28"/>
        </w:rPr>
        <w:t>4.4.1</w:t>
      </w:r>
      <w:r>
        <w:rPr>
          <w:rFonts w:hint="eastAsia" w:eastAsia="仿宋_GB2312"/>
          <w:sz w:val="32"/>
          <w:szCs w:val="28"/>
        </w:rPr>
        <w:t>（</w:t>
      </w:r>
      <w:r>
        <w:rPr>
          <w:rFonts w:eastAsia="仿宋_GB2312"/>
          <w:sz w:val="32"/>
          <w:szCs w:val="28"/>
        </w:rPr>
        <w:t>4</w:t>
      </w:r>
      <w:r>
        <w:rPr>
          <w:rFonts w:hint="eastAsia" w:eastAsia="仿宋_GB2312"/>
          <w:sz w:val="32"/>
          <w:szCs w:val="28"/>
        </w:rPr>
        <w:t>）、</w:t>
      </w:r>
      <w:r>
        <w:rPr>
          <w:rFonts w:eastAsia="仿宋_GB2312"/>
          <w:sz w:val="32"/>
          <w:szCs w:val="28"/>
        </w:rPr>
        <w:t>5.2.1、10.2.17的要求</w:t>
      </w:r>
      <w:r>
        <w:rPr>
          <w:rFonts w:hint="eastAsia" w:eastAsia="仿宋_GB2312"/>
          <w:sz w:val="32"/>
          <w:szCs w:val="28"/>
        </w:rPr>
        <w:t>。</w:t>
      </w:r>
    </w:p>
    <w:p w14:paraId="55F11F50">
      <w:pPr>
        <w:spacing w:line="520" w:lineRule="exact"/>
        <w:ind w:firstLine="640" w:firstLineChars="200"/>
        <w:rPr>
          <w:rFonts w:eastAsia="仿宋_GB2312"/>
          <w:sz w:val="32"/>
          <w:szCs w:val="28"/>
        </w:rPr>
      </w:pPr>
      <w:r>
        <w:rPr>
          <w:rFonts w:eastAsia="仿宋_GB2312"/>
          <w:sz w:val="32"/>
          <w:szCs w:val="28"/>
        </w:rPr>
        <w:t>GB 50751</w:t>
      </w:r>
      <w:r>
        <w:rPr>
          <w:rFonts w:hint="eastAsia" w:eastAsia="仿宋_GB2312"/>
          <w:sz w:val="32"/>
          <w:szCs w:val="28"/>
        </w:rPr>
        <w:t>中涉及施工的</w:t>
      </w:r>
      <w:r>
        <w:rPr>
          <w:rFonts w:eastAsia="仿宋_GB2312"/>
          <w:sz w:val="32"/>
          <w:szCs w:val="28"/>
        </w:rPr>
        <w:t>4.4.1</w:t>
      </w:r>
      <w:r>
        <w:rPr>
          <w:rFonts w:hint="eastAsia" w:eastAsia="仿宋_GB2312"/>
          <w:sz w:val="32"/>
          <w:szCs w:val="28"/>
        </w:rPr>
        <w:t>（</w:t>
      </w:r>
      <w:r>
        <w:rPr>
          <w:rFonts w:eastAsia="仿宋_GB2312"/>
          <w:sz w:val="32"/>
          <w:szCs w:val="28"/>
        </w:rPr>
        <w:t>1</w:t>
      </w:r>
      <w:r>
        <w:rPr>
          <w:rFonts w:hint="eastAsia" w:eastAsia="仿宋_GB2312"/>
          <w:sz w:val="32"/>
          <w:szCs w:val="28"/>
        </w:rPr>
        <w:t>）、</w:t>
      </w:r>
      <w:r>
        <w:rPr>
          <w:rFonts w:eastAsia="仿宋_GB2312"/>
          <w:sz w:val="32"/>
          <w:szCs w:val="28"/>
        </w:rPr>
        <w:t>4.4.7</w:t>
      </w:r>
      <w:r>
        <w:rPr>
          <w:rFonts w:hint="eastAsia" w:eastAsia="仿宋_GB2312"/>
          <w:sz w:val="32"/>
          <w:szCs w:val="28"/>
        </w:rPr>
        <w:t>、</w:t>
      </w:r>
      <w:r>
        <w:rPr>
          <w:rFonts w:eastAsia="仿宋_GB2312"/>
          <w:sz w:val="32"/>
          <w:szCs w:val="28"/>
        </w:rPr>
        <w:t>10.1.4</w:t>
      </w:r>
      <w:r>
        <w:rPr>
          <w:rFonts w:hint="eastAsia" w:eastAsia="仿宋_GB2312"/>
          <w:sz w:val="32"/>
          <w:szCs w:val="28"/>
        </w:rPr>
        <w:t>（</w:t>
      </w:r>
      <w:r>
        <w:rPr>
          <w:rFonts w:eastAsia="仿宋_GB2312"/>
          <w:sz w:val="32"/>
          <w:szCs w:val="28"/>
        </w:rPr>
        <w:t>3</w:t>
      </w:r>
      <w:r>
        <w:rPr>
          <w:rFonts w:hint="eastAsia" w:eastAsia="仿宋_GB2312"/>
          <w:sz w:val="32"/>
          <w:szCs w:val="28"/>
        </w:rPr>
        <w:t>）的要求应体现在产品说明书中。</w:t>
      </w:r>
    </w:p>
    <w:p w14:paraId="1E489BE2">
      <w:pPr>
        <w:spacing w:line="520" w:lineRule="exact"/>
        <w:ind w:firstLine="640" w:firstLineChars="200"/>
        <w:rPr>
          <w:rFonts w:eastAsia="仿宋_GB2312"/>
          <w:color w:val="4F81BD" w:themeColor="accent1"/>
          <w:sz w:val="32"/>
          <w:szCs w:val="28"/>
        </w:rPr>
      </w:pPr>
      <w:r>
        <w:rPr>
          <w:rFonts w:hint="eastAsia" w:eastAsia="仿宋_GB2312"/>
          <w:sz w:val="32"/>
          <w:szCs w:val="28"/>
        </w:rPr>
        <w:t>2.4.6建议执行</w:t>
      </w:r>
      <w:r>
        <w:rPr>
          <w:rFonts w:eastAsia="仿宋_GB2312"/>
          <w:sz w:val="32"/>
          <w:szCs w:val="28"/>
        </w:rPr>
        <w:t>GB 50751</w:t>
      </w:r>
      <w:r>
        <w:rPr>
          <w:rFonts w:hint="eastAsia" w:eastAsia="仿宋_GB2312"/>
          <w:sz w:val="32"/>
          <w:szCs w:val="28"/>
        </w:rPr>
        <w:t>中</w:t>
      </w:r>
      <w:r>
        <w:rPr>
          <w:rFonts w:eastAsia="仿宋_GB2312"/>
          <w:sz w:val="32"/>
          <w:szCs w:val="28"/>
        </w:rPr>
        <w:t>4.4</w:t>
      </w:r>
      <w:r>
        <w:rPr>
          <w:rFonts w:hint="eastAsia" w:eastAsia="仿宋_GB2312"/>
          <w:sz w:val="32"/>
          <w:szCs w:val="28"/>
        </w:rPr>
        <w:t>、</w:t>
      </w:r>
      <w:r>
        <w:rPr>
          <w:rFonts w:eastAsia="仿宋_GB2312"/>
          <w:sz w:val="32"/>
          <w:szCs w:val="28"/>
        </w:rPr>
        <w:t>4.6</w:t>
      </w:r>
      <w:r>
        <w:rPr>
          <w:rFonts w:hint="eastAsia" w:eastAsia="仿宋_GB2312"/>
          <w:sz w:val="32"/>
          <w:szCs w:val="28"/>
        </w:rPr>
        <w:t>、</w:t>
      </w:r>
      <w:r>
        <w:rPr>
          <w:rFonts w:eastAsia="仿宋_GB2312"/>
          <w:sz w:val="32"/>
          <w:szCs w:val="28"/>
        </w:rPr>
        <w:t>5.1</w:t>
      </w:r>
      <w:r>
        <w:rPr>
          <w:rFonts w:hint="eastAsia" w:eastAsia="仿宋_GB2312"/>
          <w:sz w:val="32"/>
          <w:szCs w:val="28"/>
        </w:rPr>
        <w:t>、</w:t>
      </w:r>
      <w:r>
        <w:rPr>
          <w:rFonts w:eastAsia="仿宋_GB2312"/>
          <w:sz w:val="32"/>
          <w:szCs w:val="28"/>
        </w:rPr>
        <w:t>5.2</w:t>
      </w:r>
      <w:r>
        <w:rPr>
          <w:rFonts w:hint="eastAsia" w:eastAsia="仿宋_GB2312"/>
          <w:sz w:val="32"/>
          <w:szCs w:val="28"/>
        </w:rPr>
        <w:t>、</w:t>
      </w:r>
      <w:r>
        <w:rPr>
          <w:rFonts w:eastAsia="仿宋_GB2312"/>
          <w:sz w:val="32"/>
          <w:szCs w:val="28"/>
        </w:rPr>
        <w:t>5.3</w:t>
      </w:r>
      <w:r>
        <w:rPr>
          <w:rFonts w:hint="eastAsia" w:eastAsia="仿宋_GB2312"/>
          <w:sz w:val="32"/>
          <w:szCs w:val="28"/>
        </w:rPr>
        <w:t>、</w:t>
      </w:r>
      <w:r>
        <w:rPr>
          <w:rFonts w:eastAsia="仿宋_GB2312"/>
          <w:sz w:val="32"/>
          <w:szCs w:val="28"/>
        </w:rPr>
        <w:t>6</w:t>
      </w:r>
      <w:r>
        <w:rPr>
          <w:rFonts w:hint="eastAsia" w:eastAsia="仿宋_GB2312"/>
          <w:sz w:val="32"/>
          <w:szCs w:val="28"/>
        </w:rPr>
        <w:t>、</w:t>
      </w:r>
      <w:r>
        <w:rPr>
          <w:rFonts w:eastAsia="仿宋_GB2312"/>
          <w:sz w:val="32"/>
          <w:szCs w:val="28"/>
        </w:rPr>
        <w:t>9</w:t>
      </w:r>
      <w:r>
        <w:rPr>
          <w:rFonts w:hint="eastAsia" w:eastAsia="仿宋_GB2312"/>
          <w:sz w:val="32"/>
          <w:szCs w:val="28"/>
        </w:rPr>
        <w:t>的要求，</w:t>
      </w:r>
      <w:r>
        <w:rPr>
          <w:rFonts w:eastAsia="仿宋_GB2312"/>
          <w:sz w:val="32"/>
          <w:szCs w:val="28"/>
        </w:rPr>
        <w:t>GB 50751</w:t>
      </w:r>
      <w:r>
        <w:rPr>
          <w:rFonts w:hint="eastAsia" w:eastAsia="仿宋_GB2312"/>
          <w:sz w:val="32"/>
          <w:szCs w:val="28"/>
        </w:rPr>
        <w:t>中第</w:t>
      </w:r>
      <w:r>
        <w:rPr>
          <w:rFonts w:eastAsia="仿宋_GB2312"/>
          <w:sz w:val="32"/>
          <w:szCs w:val="28"/>
        </w:rPr>
        <w:t>10</w:t>
      </w:r>
      <w:r>
        <w:rPr>
          <w:rFonts w:hint="eastAsia" w:eastAsia="仿宋_GB2312"/>
          <w:sz w:val="32"/>
          <w:szCs w:val="28"/>
        </w:rPr>
        <w:t>、</w:t>
      </w:r>
      <w:r>
        <w:rPr>
          <w:rFonts w:eastAsia="仿宋_GB2312"/>
          <w:sz w:val="32"/>
          <w:szCs w:val="28"/>
        </w:rPr>
        <w:t>11</w:t>
      </w:r>
      <w:r>
        <w:rPr>
          <w:rFonts w:hint="eastAsia" w:eastAsia="仿宋_GB2312"/>
          <w:sz w:val="32"/>
          <w:szCs w:val="28"/>
        </w:rPr>
        <w:t>部分内容应在说明书中进行提示。</w:t>
      </w:r>
    </w:p>
    <w:p w14:paraId="7A0B1266">
      <w:pPr>
        <w:spacing w:line="520" w:lineRule="exact"/>
        <w:ind w:firstLine="640" w:firstLineChars="200"/>
        <w:outlineLvl w:val="1"/>
        <w:rPr>
          <w:rFonts w:eastAsia="仿宋_GB2312"/>
          <w:sz w:val="32"/>
          <w:szCs w:val="32"/>
        </w:rPr>
      </w:pPr>
      <w:r>
        <w:rPr>
          <w:rFonts w:eastAsia="仿宋_GB2312"/>
          <w:sz w:val="32"/>
          <w:szCs w:val="32"/>
        </w:rPr>
        <w:t>3.同一注册单元内注册检验代表产品确定原则和实例</w:t>
      </w:r>
    </w:p>
    <w:p w14:paraId="7DFEFE58">
      <w:pPr>
        <w:autoSpaceDE w:val="0"/>
        <w:autoSpaceDN w:val="0"/>
        <w:spacing w:line="520" w:lineRule="exact"/>
        <w:ind w:firstLine="640" w:firstLineChars="200"/>
        <w:rPr>
          <w:rFonts w:eastAsia="仿宋_GB2312"/>
          <w:kern w:val="0"/>
          <w:sz w:val="32"/>
          <w:szCs w:val="32"/>
        </w:rPr>
      </w:pPr>
      <w:r>
        <w:rPr>
          <w:rFonts w:eastAsia="仿宋_GB2312"/>
          <w:kern w:val="0"/>
          <w:sz w:val="32"/>
          <w:szCs w:val="32"/>
        </w:rPr>
        <w:t>检验用产品应当能够代表申请注册产品的安全性和有效性，应充分考虑产品功能、结构组成、控制方式及其他风险等方面；代表产品应是功能最齐全、结构最复杂、风险最高的产品。</w:t>
      </w:r>
    </w:p>
    <w:p w14:paraId="367A7452">
      <w:pPr>
        <w:spacing w:line="520" w:lineRule="exact"/>
        <w:ind w:firstLine="640" w:firstLineChars="200"/>
        <w:rPr>
          <w:rFonts w:eastAsia="仿宋_GB2312"/>
          <w:sz w:val="32"/>
          <w:szCs w:val="28"/>
        </w:rPr>
      </w:pPr>
      <w:r>
        <w:rPr>
          <w:rFonts w:hint="eastAsia" w:eastAsia="仿宋_GB2312"/>
          <w:sz w:val="32"/>
          <w:szCs w:val="28"/>
        </w:rPr>
        <w:t>选择代表产品进行检测，需要考虑真空泵数量/类型、抽气量等因素，同时</w:t>
      </w:r>
      <w:r>
        <w:rPr>
          <w:rFonts w:hint="eastAsia" w:eastAsia="仿宋_GB2312"/>
          <w:kern w:val="0"/>
          <w:sz w:val="32"/>
          <w:szCs w:val="32"/>
        </w:rPr>
        <w:t>还应考虑其他型号中未被代表型号所涵盖的安全指标及性能指标。</w:t>
      </w:r>
    </w:p>
    <w:p w14:paraId="062F8653">
      <w:pPr>
        <w:spacing w:line="520" w:lineRule="exact"/>
        <w:ind w:firstLine="640" w:firstLineChars="200"/>
        <w:outlineLvl w:val="1"/>
        <w:rPr>
          <w:rFonts w:eastAsia="仿宋_GB2312"/>
          <w:sz w:val="32"/>
          <w:szCs w:val="32"/>
        </w:rPr>
      </w:pPr>
      <w:r>
        <w:rPr>
          <w:rFonts w:eastAsia="仿宋_GB2312"/>
          <w:sz w:val="32"/>
          <w:szCs w:val="32"/>
        </w:rPr>
        <w:t>4.</w:t>
      </w:r>
      <w:r>
        <w:rPr>
          <w:rFonts w:hint="eastAsia" w:eastAsia="仿宋_GB2312"/>
          <w:sz w:val="32"/>
          <w:szCs w:val="32"/>
        </w:rPr>
        <w:t>研究资料</w:t>
      </w:r>
    </w:p>
    <w:p w14:paraId="1FB6216F">
      <w:pPr>
        <w:spacing w:line="520" w:lineRule="exact"/>
        <w:ind w:firstLine="640" w:firstLineChars="200"/>
        <w:rPr>
          <w:rFonts w:eastAsia="仿宋_GB2312"/>
          <w:sz w:val="32"/>
          <w:szCs w:val="32"/>
        </w:rPr>
      </w:pPr>
      <w:r>
        <w:rPr>
          <w:rFonts w:eastAsia="仿宋_GB2312"/>
          <w:sz w:val="32"/>
          <w:szCs w:val="32"/>
        </w:rPr>
        <w:t>4.1产品性能研究</w:t>
      </w:r>
    </w:p>
    <w:p w14:paraId="6C400FF3">
      <w:pPr>
        <w:spacing w:line="520" w:lineRule="exact"/>
        <w:ind w:firstLine="640" w:firstLineChars="200"/>
        <w:rPr>
          <w:rFonts w:eastAsia="仿宋_GB2312"/>
          <w:color w:val="000000"/>
          <w:spacing w:val="-1"/>
          <w:sz w:val="32"/>
          <w:szCs w:val="32"/>
        </w:rPr>
      </w:pPr>
      <w:r>
        <w:rPr>
          <w:rFonts w:hint="eastAsia" w:eastAsia="仿宋_GB2312"/>
          <w:sz w:val="32"/>
          <w:szCs w:val="32"/>
        </w:rPr>
        <w:t>4.1.1</w:t>
      </w:r>
      <w:r>
        <w:rPr>
          <w:rFonts w:eastAsia="仿宋_GB2312"/>
          <w:sz w:val="32"/>
          <w:szCs w:val="32"/>
        </w:rPr>
        <w:t>应提供产品性能指标及</w:t>
      </w:r>
      <w:r>
        <w:rPr>
          <w:rFonts w:hint="eastAsia" w:eastAsia="仿宋_GB2312"/>
          <w:sz w:val="32"/>
          <w:szCs w:val="32"/>
        </w:rPr>
        <w:t>检</w:t>
      </w:r>
      <w:r>
        <w:rPr>
          <w:rFonts w:eastAsia="仿宋_GB2312"/>
          <w:sz w:val="32"/>
          <w:szCs w:val="32"/>
        </w:rPr>
        <w:t>验方法的制定依据</w:t>
      </w:r>
      <w:r>
        <w:rPr>
          <w:rFonts w:eastAsia="仿宋_GB2312"/>
          <w:color w:val="000000"/>
          <w:spacing w:val="-1"/>
          <w:sz w:val="32"/>
          <w:szCs w:val="32"/>
        </w:rPr>
        <w:t>，所采用的标准或方法、采用的原因及理论基础。</w:t>
      </w:r>
    </w:p>
    <w:p w14:paraId="6086AC52">
      <w:pPr>
        <w:spacing w:line="560" w:lineRule="exact"/>
        <w:ind w:firstLine="640" w:firstLineChars="200"/>
        <w:rPr>
          <w:rFonts w:eastAsia="仿宋_GB2312"/>
          <w:color w:val="000000"/>
          <w:sz w:val="32"/>
          <w:szCs w:val="32"/>
        </w:rPr>
      </w:pPr>
      <w:r>
        <w:rPr>
          <w:rFonts w:eastAsia="仿宋_GB2312"/>
          <w:color w:val="000000"/>
          <w:sz w:val="32"/>
          <w:szCs w:val="32"/>
        </w:rPr>
        <w:t>产品应当符合适用的强制性标准</w:t>
      </w:r>
      <w:r>
        <w:rPr>
          <w:rFonts w:hint="eastAsia" w:eastAsia="仿宋_GB2312"/>
          <w:color w:val="000000"/>
          <w:sz w:val="32"/>
          <w:szCs w:val="32"/>
        </w:rPr>
        <w:t>，</w:t>
      </w:r>
      <w:r>
        <w:rPr>
          <w:rFonts w:eastAsia="仿宋_GB2312"/>
          <w:color w:val="000000"/>
          <w:sz w:val="32"/>
          <w:szCs w:val="32"/>
        </w:rPr>
        <w:t>不适用的</w:t>
      </w:r>
      <w:r>
        <w:rPr>
          <w:rFonts w:hint="eastAsia" w:eastAsia="仿宋_GB2312"/>
          <w:color w:val="000000"/>
          <w:sz w:val="32"/>
          <w:szCs w:val="32"/>
        </w:rPr>
        <w:t>条款</w:t>
      </w:r>
      <w:r>
        <w:rPr>
          <w:rFonts w:eastAsia="仿宋_GB2312"/>
          <w:color w:val="000000"/>
          <w:sz w:val="32"/>
          <w:szCs w:val="32"/>
        </w:rPr>
        <w:t>，</w:t>
      </w:r>
      <w:r>
        <w:rPr>
          <w:rFonts w:hint="eastAsia" w:eastAsia="仿宋_GB2312"/>
          <w:color w:val="000000"/>
          <w:sz w:val="32"/>
          <w:szCs w:val="32"/>
        </w:rPr>
        <w:t>应说明理由，并提供证明性资料</w:t>
      </w:r>
      <w:r>
        <w:rPr>
          <w:rFonts w:eastAsia="仿宋_GB2312"/>
          <w:color w:val="000000"/>
          <w:sz w:val="32"/>
          <w:szCs w:val="32"/>
        </w:rPr>
        <w:t>。</w:t>
      </w:r>
    </w:p>
    <w:p w14:paraId="48D1CBEE">
      <w:pPr>
        <w:spacing w:line="520" w:lineRule="exact"/>
        <w:ind w:firstLine="640" w:firstLineChars="200"/>
        <w:rPr>
          <w:rFonts w:eastAsia="仿宋_GB2312"/>
          <w:sz w:val="32"/>
          <w:szCs w:val="32"/>
        </w:rPr>
      </w:pPr>
      <w:r>
        <w:rPr>
          <w:rFonts w:eastAsia="仿宋_GB2312"/>
          <w:sz w:val="32"/>
          <w:szCs w:val="32"/>
        </w:rPr>
        <w:t xml:space="preserve">4.1.2 </w:t>
      </w:r>
      <w:r>
        <w:rPr>
          <w:rFonts w:hint="eastAsia" w:eastAsia="仿宋_GB2312"/>
          <w:sz w:val="32"/>
          <w:szCs w:val="32"/>
        </w:rPr>
        <w:t>结合产品设计，需明确产品包含的真空泵组数量以及类型，提供产品的标称分配压力范围，以及能实现连续供应并满足最高设计流量要求的研究资料。</w:t>
      </w:r>
    </w:p>
    <w:p w14:paraId="07BDB49F">
      <w:pPr>
        <w:spacing w:line="520" w:lineRule="exact"/>
        <w:ind w:firstLine="636" w:firstLineChars="200"/>
        <w:rPr>
          <w:rFonts w:eastAsia="仿宋_GB2312"/>
          <w:color w:val="000000"/>
          <w:spacing w:val="-1"/>
          <w:sz w:val="32"/>
          <w:szCs w:val="32"/>
        </w:rPr>
      </w:pPr>
      <w:r>
        <w:rPr>
          <w:rFonts w:hint="eastAsia" w:eastAsia="仿宋_GB2312"/>
          <w:color w:val="000000"/>
          <w:spacing w:val="-1"/>
          <w:sz w:val="32"/>
          <w:szCs w:val="32"/>
        </w:rPr>
        <w:t>产品具备真空泵组控制功能，应明确真空泵组的</w:t>
      </w:r>
      <w:r>
        <w:rPr>
          <w:rFonts w:hint="eastAsia" w:eastAsia="仿宋_GB2312"/>
          <w:sz w:val="32"/>
          <w:szCs w:val="28"/>
        </w:rPr>
        <w:t>启停逻辑，并</w:t>
      </w:r>
      <w:r>
        <w:rPr>
          <w:rFonts w:hint="eastAsia" w:eastAsia="仿宋_GB2312"/>
          <w:color w:val="000000"/>
          <w:spacing w:val="-1"/>
          <w:sz w:val="32"/>
          <w:szCs w:val="32"/>
        </w:rPr>
        <w:t>提交真空泵机组控制功能验证资料。</w:t>
      </w:r>
    </w:p>
    <w:p w14:paraId="15AC7984">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与产品配合使用的真空罐设计制造应符合相关标准的要求，并提供相应的质量证明文件。</w:t>
      </w:r>
    </w:p>
    <w:p w14:paraId="7DD46571">
      <w:pPr>
        <w:spacing w:line="520" w:lineRule="exact"/>
        <w:ind w:firstLine="636" w:firstLineChars="200"/>
        <w:rPr>
          <w:rFonts w:eastAsia="仿宋_GB2312"/>
          <w:color w:val="000000"/>
          <w:spacing w:val="-1"/>
          <w:sz w:val="32"/>
          <w:szCs w:val="32"/>
        </w:rPr>
      </w:pPr>
      <w:r>
        <w:rPr>
          <w:rFonts w:hint="eastAsia" w:eastAsia="仿宋_GB2312"/>
          <w:color w:val="000000"/>
          <w:spacing w:val="-1"/>
          <w:sz w:val="32"/>
          <w:szCs w:val="32"/>
        </w:rPr>
        <w:t>提交产品在</w:t>
      </w:r>
      <w:r>
        <w:rPr>
          <w:rFonts w:hint="eastAsia" w:eastAsia="仿宋_GB2312"/>
          <w:sz w:val="32"/>
          <w:szCs w:val="32"/>
        </w:rPr>
        <w:t>标称分配压力范围内</w:t>
      </w:r>
      <w:r>
        <w:rPr>
          <w:rFonts w:hint="eastAsia" w:eastAsia="仿宋_GB2312"/>
          <w:color w:val="000000"/>
          <w:spacing w:val="-1"/>
          <w:sz w:val="32"/>
          <w:szCs w:val="32"/>
        </w:rPr>
        <w:t>，压力稳定性和泄漏量的性能研究。</w:t>
      </w:r>
    </w:p>
    <w:p w14:paraId="2F9FB9E6">
      <w:pPr>
        <w:spacing w:line="520" w:lineRule="exact"/>
        <w:ind w:firstLine="636" w:firstLineChars="200"/>
        <w:rPr>
          <w:rFonts w:eastAsia="仿宋_GB2312"/>
          <w:color w:val="000000"/>
          <w:spacing w:val="-1"/>
          <w:sz w:val="32"/>
          <w:szCs w:val="32"/>
        </w:rPr>
      </w:pPr>
      <w:r>
        <w:rPr>
          <w:rFonts w:hint="eastAsia" w:eastAsia="仿宋_GB2312"/>
          <w:color w:val="000000"/>
          <w:spacing w:val="-1"/>
          <w:sz w:val="32"/>
          <w:szCs w:val="32"/>
        </w:rPr>
        <w:t>产品应有监测和报警功能，结合产品风险分析和控制，说明</w:t>
      </w:r>
      <w:r>
        <w:rPr>
          <w:rFonts w:hint="eastAsia" w:eastAsia="仿宋_GB2312"/>
          <w:sz w:val="32"/>
          <w:szCs w:val="32"/>
        </w:rPr>
        <w:t>气源和区域报警</w:t>
      </w:r>
      <w:r>
        <w:rPr>
          <w:rFonts w:hint="eastAsia" w:eastAsia="仿宋_GB2312"/>
          <w:color w:val="000000"/>
          <w:spacing w:val="-1"/>
          <w:sz w:val="32"/>
          <w:szCs w:val="32"/>
        </w:rPr>
        <w:t>的设计，明确各类</w:t>
      </w:r>
      <w:r>
        <w:rPr>
          <w:rFonts w:hint="eastAsia" w:eastAsia="仿宋_GB2312"/>
          <w:sz w:val="32"/>
          <w:szCs w:val="28"/>
        </w:rPr>
        <w:t>报警条件，并</w:t>
      </w:r>
      <w:r>
        <w:rPr>
          <w:rFonts w:hint="eastAsia" w:eastAsia="仿宋_GB2312"/>
          <w:color w:val="000000"/>
          <w:spacing w:val="-1"/>
          <w:sz w:val="32"/>
          <w:szCs w:val="32"/>
        </w:rPr>
        <w:t>提交报警功能验证资料。</w:t>
      </w:r>
      <w:r>
        <w:rPr>
          <w:rFonts w:hint="eastAsia" w:eastAsia="仿宋_GB2312"/>
          <w:sz w:val="32"/>
          <w:szCs w:val="28"/>
        </w:rPr>
        <w:t>关于报警功能的相关要求，可以同时参考《医用气体报警系统注册审查指导原则》的适用部分。</w:t>
      </w:r>
    </w:p>
    <w:p w14:paraId="15CF75C3">
      <w:pPr>
        <w:spacing w:line="520" w:lineRule="exact"/>
        <w:ind w:firstLine="636" w:firstLineChars="200"/>
        <w:rPr>
          <w:rFonts w:eastAsia="仿宋_GB2312"/>
          <w:color w:val="000000"/>
          <w:spacing w:val="-1"/>
          <w:sz w:val="32"/>
          <w:szCs w:val="32"/>
        </w:rPr>
      </w:pPr>
      <w:r>
        <w:rPr>
          <w:rFonts w:hint="eastAsia" w:eastAsia="仿宋_GB2312"/>
          <w:color w:val="000000"/>
          <w:spacing w:val="-1"/>
          <w:sz w:val="32"/>
          <w:szCs w:val="32"/>
        </w:rPr>
        <w:t>管道或部件的耐腐蚀性研究资料。</w:t>
      </w:r>
    </w:p>
    <w:p w14:paraId="03466FD8">
      <w:pPr>
        <w:spacing w:line="520" w:lineRule="exact"/>
        <w:ind w:firstLine="640" w:firstLineChars="200"/>
        <w:rPr>
          <w:rFonts w:eastAsia="仿宋_GB2312"/>
          <w:bCs/>
          <w:color w:val="000000"/>
          <w:sz w:val="32"/>
          <w:szCs w:val="28"/>
        </w:rPr>
      </w:pPr>
      <w:r>
        <w:rPr>
          <w:rFonts w:eastAsia="仿宋_GB2312"/>
          <w:color w:val="000000"/>
          <w:sz w:val="32"/>
          <w:szCs w:val="28"/>
        </w:rPr>
        <w:t>4.2</w:t>
      </w:r>
      <w:r>
        <w:rPr>
          <w:rFonts w:hint="eastAsia" w:eastAsia="仿宋_GB2312"/>
          <w:bCs/>
          <w:color w:val="000000"/>
          <w:sz w:val="32"/>
          <w:szCs w:val="28"/>
        </w:rPr>
        <w:t>生物学特性研究</w:t>
      </w:r>
    </w:p>
    <w:p w14:paraId="690C1C34">
      <w:pPr>
        <w:spacing w:line="520" w:lineRule="exact"/>
        <w:ind w:firstLine="640" w:firstLineChars="200"/>
        <w:rPr>
          <w:rFonts w:eastAsia="仿宋_GB2312"/>
          <w:sz w:val="32"/>
          <w:szCs w:val="28"/>
        </w:rPr>
      </w:pPr>
      <w:r>
        <w:rPr>
          <w:rFonts w:hint="eastAsia" w:eastAsia="仿宋_GB2312"/>
          <w:sz w:val="32"/>
          <w:szCs w:val="28"/>
        </w:rPr>
        <w:t>医用中心吸引系统产品组件中不与人体直接或间接接触，则可免除生物学评价。</w:t>
      </w:r>
    </w:p>
    <w:p w14:paraId="07F06EF3">
      <w:pPr>
        <w:spacing w:line="520" w:lineRule="exact"/>
        <w:ind w:firstLine="640" w:firstLineChars="200"/>
        <w:rPr>
          <w:rFonts w:eastAsia="仿宋_GB2312"/>
          <w:bCs/>
          <w:color w:val="000000"/>
          <w:sz w:val="32"/>
          <w:szCs w:val="28"/>
        </w:rPr>
      </w:pPr>
      <w:r>
        <w:rPr>
          <w:rFonts w:eastAsia="仿宋_GB2312"/>
          <w:color w:val="000000"/>
          <w:sz w:val="32"/>
          <w:szCs w:val="28"/>
        </w:rPr>
        <w:t>4.3</w:t>
      </w:r>
      <w:r>
        <w:rPr>
          <w:rFonts w:eastAsia="仿宋_GB2312"/>
          <w:color w:val="000000"/>
          <w:sz w:val="32"/>
          <w:szCs w:val="32"/>
        </w:rPr>
        <w:t>清洁、消毒、灭菌研究</w:t>
      </w:r>
    </w:p>
    <w:p w14:paraId="16864F6B">
      <w:pPr>
        <w:spacing w:line="520" w:lineRule="exact"/>
        <w:ind w:firstLine="640" w:firstLineChars="200"/>
        <w:rPr>
          <w:rFonts w:eastAsia="仿宋_GB2312"/>
          <w:bCs/>
          <w:color w:val="000000"/>
          <w:sz w:val="32"/>
          <w:szCs w:val="28"/>
        </w:rPr>
      </w:pPr>
      <w:r>
        <w:rPr>
          <w:rFonts w:hint="eastAsia" w:eastAsia="仿宋_GB2312"/>
          <w:sz w:val="32"/>
          <w:szCs w:val="28"/>
        </w:rPr>
        <w:t>不</w:t>
      </w:r>
      <w:r>
        <w:rPr>
          <w:rFonts w:eastAsia="仿宋_GB2312"/>
          <w:sz w:val="32"/>
          <w:szCs w:val="28"/>
        </w:rPr>
        <w:t>适用。</w:t>
      </w:r>
    </w:p>
    <w:p w14:paraId="7095761F">
      <w:pPr>
        <w:spacing w:line="520" w:lineRule="exact"/>
        <w:ind w:firstLine="640" w:firstLineChars="200"/>
        <w:rPr>
          <w:rFonts w:eastAsia="仿宋_GB2312"/>
          <w:bCs/>
          <w:color w:val="000000"/>
          <w:sz w:val="32"/>
          <w:szCs w:val="28"/>
        </w:rPr>
      </w:pPr>
      <w:r>
        <w:rPr>
          <w:rFonts w:eastAsia="仿宋_GB2312"/>
          <w:color w:val="000000"/>
          <w:sz w:val="32"/>
          <w:szCs w:val="28"/>
        </w:rPr>
        <w:t>4.4</w:t>
      </w:r>
      <w:r>
        <w:rPr>
          <w:rFonts w:eastAsia="仿宋_GB2312"/>
          <w:color w:val="000000"/>
          <w:sz w:val="32"/>
          <w:szCs w:val="32"/>
        </w:rPr>
        <w:t>稳定性研究</w:t>
      </w:r>
    </w:p>
    <w:p w14:paraId="18C4F43F">
      <w:pPr>
        <w:spacing w:line="520" w:lineRule="exact"/>
        <w:ind w:firstLine="640" w:firstLineChars="200"/>
        <w:rPr>
          <w:rFonts w:eastAsia="仿宋_GB2312"/>
          <w:bCs/>
          <w:sz w:val="32"/>
          <w:szCs w:val="32"/>
        </w:rPr>
      </w:pPr>
      <w:r>
        <w:rPr>
          <w:rFonts w:hint="eastAsia" w:eastAsia="仿宋_GB2312"/>
          <w:bCs/>
          <w:sz w:val="32"/>
          <w:szCs w:val="32"/>
        </w:rPr>
        <w:t>4</w:t>
      </w:r>
      <w:r>
        <w:rPr>
          <w:rFonts w:eastAsia="仿宋_GB2312"/>
          <w:bCs/>
          <w:sz w:val="32"/>
          <w:szCs w:val="32"/>
        </w:rPr>
        <w:t>.</w:t>
      </w:r>
      <w:r>
        <w:rPr>
          <w:rFonts w:hint="eastAsia" w:eastAsia="仿宋_GB2312"/>
          <w:bCs/>
          <w:sz w:val="32"/>
          <w:szCs w:val="32"/>
        </w:rPr>
        <w:t>4.1</w:t>
      </w:r>
      <w:r>
        <w:rPr>
          <w:rFonts w:eastAsia="仿宋_GB2312"/>
          <w:bCs/>
          <w:sz w:val="32"/>
          <w:szCs w:val="32"/>
        </w:rPr>
        <w:t>使用稳定性</w:t>
      </w:r>
    </w:p>
    <w:p w14:paraId="089EBAA7">
      <w:pPr>
        <w:spacing w:line="520" w:lineRule="exact"/>
        <w:ind w:firstLine="640" w:firstLineChars="200"/>
        <w:rPr>
          <w:rFonts w:eastAsia="仿宋_GB2312"/>
          <w:color w:val="0000FF"/>
          <w:sz w:val="32"/>
          <w:szCs w:val="32"/>
        </w:rPr>
      </w:pPr>
      <w:r>
        <w:rPr>
          <w:rFonts w:eastAsia="仿宋_GB2312"/>
          <w:sz w:val="32"/>
          <w:szCs w:val="28"/>
        </w:rPr>
        <w:t>参</w:t>
      </w:r>
      <w:r>
        <w:rPr>
          <w:rFonts w:hint="eastAsia" w:eastAsia="仿宋_GB2312"/>
          <w:sz w:val="32"/>
          <w:szCs w:val="28"/>
        </w:rPr>
        <w:t>考</w:t>
      </w:r>
      <w:r>
        <w:rPr>
          <w:rFonts w:eastAsia="仿宋_GB2312"/>
          <w:sz w:val="32"/>
          <w:szCs w:val="28"/>
        </w:rPr>
        <w:t>《有源医疗器械使用期限技术审查指导原则》的相关要求</w:t>
      </w:r>
      <w:r>
        <w:rPr>
          <w:rFonts w:hint="eastAsia" w:eastAsia="仿宋_GB2312"/>
          <w:sz w:val="32"/>
          <w:szCs w:val="28"/>
        </w:rPr>
        <w:t>，</w:t>
      </w:r>
      <w:r>
        <w:rPr>
          <w:rFonts w:eastAsia="仿宋_GB2312"/>
          <w:color w:val="000000"/>
          <w:sz w:val="32"/>
          <w:szCs w:val="32"/>
        </w:rPr>
        <w:t>明确产品的使用期限并提供相关的验证资料。</w:t>
      </w:r>
      <w:r>
        <w:rPr>
          <w:rFonts w:hint="eastAsia" w:eastAsia="仿宋_GB2312"/>
          <w:sz w:val="32"/>
          <w:szCs w:val="28"/>
        </w:rPr>
        <w:t>可以</w:t>
      </w:r>
      <w:r>
        <w:rPr>
          <w:rFonts w:eastAsia="仿宋_GB2312"/>
          <w:sz w:val="32"/>
          <w:szCs w:val="32"/>
        </w:rPr>
        <w:t>将产品分解为不同子系统/部件</w:t>
      </w:r>
      <w:r>
        <w:rPr>
          <w:rFonts w:hint="eastAsia" w:eastAsia="仿宋_GB2312"/>
          <w:sz w:val="32"/>
          <w:szCs w:val="32"/>
        </w:rPr>
        <w:t>（如管路系统、报警系统、控制装置等）</w:t>
      </w:r>
      <w:r>
        <w:rPr>
          <w:rFonts w:eastAsia="仿宋_GB2312"/>
          <w:sz w:val="32"/>
          <w:szCs w:val="32"/>
        </w:rPr>
        <w:t>的方式进行评价</w:t>
      </w:r>
      <w:r>
        <w:rPr>
          <w:rFonts w:hint="eastAsia" w:eastAsia="仿宋_GB2312"/>
          <w:sz w:val="32"/>
          <w:szCs w:val="32"/>
        </w:rPr>
        <w:t>，影响因素应考虑到关键部件、使用累计时间和强度、运输储存及使用环境、部件的更换等，</w:t>
      </w:r>
      <w:r>
        <w:rPr>
          <w:rFonts w:hint="eastAsia" w:eastAsia="仿宋_GB2312"/>
          <w:spacing w:val="-1"/>
          <w:sz w:val="32"/>
          <w:szCs w:val="32"/>
        </w:rPr>
        <w:t>明确可更换部件的更换条件和更换频次，并提供相应的依据。</w:t>
      </w:r>
    </w:p>
    <w:p w14:paraId="57210E42">
      <w:pPr>
        <w:spacing w:line="520" w:lineRule="exact"/>
        <w:ind w:firstLine="640" w:firstLineChars="200"/>
        <w:rPr>
          <w:rFonts w:eastAsia="仿宋_GB2312"/>
          <w:bCs/>
          <w:sz w:val="32"/>
          <w:szCs w:val="32"/>
        </w:rPr>
      </w:pPr>
      <w:r>
        <w:rPr>
          <w:rFonts w:hint="eastAsia" w:eastAsia="仿宋_GB2312"/>
          <w:bCs/>
          <w:sz w:val="32"/>
          <w:szCs w:val="32"/>
        </w:rPr>
        <w:t>4</w:t>
      </w:r>
      <w:r>
        <w:rPr>
          <w:rFonts w:eastAsia="仿宋_GB2312"/>
          <w:bCs/>
          <w:sz w:val="32"/>
          <w:szCs w:val="32"/>
        </w:rPr>
        <w:t>.</w:t>
      </w:r>
      <w:r>
        <w:rPr>
          <w:rFonts w:hint="eastAsia" w:eastAsia="仿宋_GB2312"/>
          <w:bCs/>
          <w:sz w:val="32"/>
          <w:szCs w:val="32"/>
        </w:rPr>
        <w:t>4.2运输</w:t>
      </w:r>
      <w:r>
        <w:rPr>
          <w:rFonts w:eastAsia="仿宋_GB2312"/>
          <w:bCs/>
          <w:sz w:val="32"/>
          <w:szCs w:val="32"/>
        </w:rPr>
        <w:t>稳定性</w:t>
      </w:r>
    </w:p>
    <w:p w14:paraId="6C0EAA38">
      <w:pPr>
        <w:spacing w:line="520" w:lineRule="exact"/>
        <w:ind w:firstLine="640" w:firstLineChars="200"/>
        <w:rPr>
          <w:rFonts w:eastAsia="仿宋_GB2312"/>
          <w:bCs/>
          <w:sz w:val="32"/>
          <w:szCs w:val="32"/>
        </w:rPr>
      </w:pPr>
      <w:r>
        <w:rPr>
          <w:rFonts w:eastAsia="仿宋_GB2312"/>
          <w:bCs/>
          <w:sz w:val="32"/>
          <w:szCs w:val="32"/>
        </w:rPr>
        <w:t>应当提供运输稳定性和包装研究资料，证明在生产企业规定的运输条件下，运输过程中的环境条件（例如：震动、振动、温度和湿度的波动）不会对</w:t>
      </w:r>
      <w:r>
        <w:rPr>
          <w:rFonts w:hint="eastAsia" w:eastAsia="仿宋_GB2312"/>
          <w:bCs/>
          <w:sz w:val="32"/>
          <w:szCs w:val="32"/>
        </w:rPr>
        <w:t>产品</w:t>
      </w:r>
      <w:r>
        <w:rPr>
          <w:rFonts w:eastAsia="仿宋_GB2312"/>
          <w:bCs/>
          <w:sz w:val="32"/>
          <w:szCs w:val="32"/>
        </w:rPr>
        <w:t>的特性和性能造成不利影响。</w:t>
      </w:r>
    </w:p>
    <w:p w14:paraId="5238F02F">
      <w:pPr>
        <w:spacing w:line="520" w:lineRule="exact"/>
        <w:ind w:firstLine="640" w:firstLineChars="200"/>
        <w:rPr>
          <w:rFonts w:eastAsia="仿宋_GB2312"/>
          <w:sz w:val="32"/>
          <w:szCs w:val="32"/>
        </w:rPr>
      </w:pPr>
      <w:r>
        <w:rPr>
          <w:rFonts w:hint="eastAsia" w:eastAsia="仿宋_GB2312"/>
          <w:bCs/>
          <w:sz w:val="32"/>
          <w:szCs w:val="32"/>
        </w:rPr>
        <w:t>4</w:t>
      </w:r>
      <w:r>
        <w:rPr>
          <w:rFonts w:eastAsia="仿宋_GB2312"/>
          <w:bCs/>
          <w:sz w:val="32"/>
          <w:szCs w:val="32"/>
        </w:rPr>
        <w:t>.</w:t>
      </w:r>
      <w:r>
        <w:rPr>
          <w:rFonts w:hint="eastAsia" w:eastAsia="仿宋_GB2312"/>
          <w:bCs/>
          <w:sz w:val="32"/>
          <w:szCs w:val="32"/>
        </w:rPr>
        <w:t>4.3</w:t>
      </w:r>
      <w:r>
        <w:rPr>
          <w:rFonts w:eastAsia="仿宋_GB2312"/>
          <w:sz w:val="32"/>
          <w:szCs w:val="32"/>
        </w:rPr>
        <w:t>环境试验</w:t>
      </w:r>
    </w:p>
    <w:p w14:paraId="2B2B2136">
      <w:pPr>
        <w:spacing w:line="520" w:lineRule="exact"/>
        <w:ind w:firstLine="640" w:firstLineChars="200"/>
        <w:rPr>
          <w:rFonts w:eastAsia="仿宋_GB2312"/>
          <w:sz w:val="32"/>
          <w:szCs w:val="32"/>
        </w:rPr>
      </w:pPr>
      <w:r>
        <w:rPr>
          <w:rFonts w:eastAsia="仿宋_GB2312"/>
          <w:sz w:val="32"/>
          <w:szCs w:val="32"/>
        </w:rPr>
        <w:t>医用电器环境要求是评价产品在各种工作环境和模拟贮存、运输环境下的适应性，建议按照GB/T 14710的要求进行试验</w:t>
      </w:r>
      <w:r>
        <w:rPr>
          <w:rFonts w:hint="eastAsia" w:eastAsia="仿宋_GB2312"/>
          <w:sz w:val="32"/>
          <w:szCs w:val="32"/>
        </w:rPr>
        <w:t>，提交相应研究资料。环境试验检测项目选取原则为与电气控制部分相关的检测项目（如电控柜、气源和区域报警装置对应的相关性能指标）。应提供医用中心吸引系统环境试验条件分组以及试验条件参数设置的相关依据。</w:t>
      </w:r>
    </w:p>
    <w:p w14:paraId="791989AB">
      <w:pPr>
        <w:spacing w:line="520" w:lineRule="exact"/>
        <w:ind w:firstLine="640" w:firstLineChars="200"/>
        <w:rPr>
          <w:rFonts w:eastAsia="仿宋_GB2312"/>
          <w:bCs/>
          <w:color w:val="000000"/>
          <w:sz w:val="32"/>
          <w:szCs w:val="28"/>
        </w:rPr>
      </w:pPr>
      <w:r>
        <w:rPr>
          <w:rFonts w:eastAsia="仿宋_GB2312"/>
          <w:bCs/>
          <w:color w:val="000000"/>
          <w:sz w:val="32"/>
          <w:szCs w:val="28"/>
        </w:rPr>
        <w:t>4.5软件研究</w:t>
      </w:r>
    </w:p>
    <w:p w14:paraId="44A46304">
      <w:pPr>
        <w:spacing w:line="520" w:lineRule="exact"/>
        <w:ind w:firstLine="640" w:firstLineChars="200"/>
        <w:rPr>
          <w:rFonts w:eastAsia="仿宋_GB2312"/>
          <w:sz w:val="32"/>
          <w:szCs w:val="32"/>
        </w:rPr>
      </w:pPr>
      <w:r>
        <w:rPr>
          <w:rFonts w:hint="eastAsia" w:eastAsia="仿宋_GB2312"/>
          <w:sz w:val="32"/>
          <w:szCs w:val="32"/>
        </w:rPr>
        <w:t>一般含软件组件，软件组件需与医用中心吸引系统整体开展风险管理，软件安全级别一般为中等，</w:t>
      </w:r>
      <w:r>
        <w:rPr>
          <w:rFonts w:eastAsia="仿宋_GB2312"/>
          <w:sz w:val="32"/>
          <w:szCs w:val="32"/>
        </w:rPr>
        <w:t>应参照《医疗器械软件注册技术审查指导原则（2022年修订版）》</w:t>
      </w:r>
      <w:r>
        <w:rPr>
          <w:rFonts w:eastAsia="仿宋_GB2312"/>
          <w:sz w:val="32"/>
        </w:rPr>
        <w:t>的</w:t>
      </w:r>
      <w:r>
        <w:rPr>
          <w:rFonts w:eastAsia="仿宋_GB2312"/>
          <w:sz w:val="32"/>
          <w:szCs w:val="32"/>
        </w:rPr>
        <w:t>相关要求提交</w:t>
      </w:r>
      <w:r>
        <w:rPr>
          <w:rFonts w:hint="eastAsia" w:eastAsia="仿宋_GB2312"/>
          <w:sz w:val="32"/>
          <w:szCs w:val="32"/>
        </w:rPr>
        <w:t>相应研究资料</w:t>
      </w:r>
      <w:r>
        <w:rPr>
          <w:rFonts w:eastAsia="仿宋_GB2312"/>
          <w:sz w:val="32"/>
          <w:szCs w:val="32"/>
        </w:rPr>
        <w:t>。</w:t>
      </w:r>
    </w:p>
    <w:p w14:paraId="07A538F2">
      <w:pPr>
        <w:spacing w:line="520" w:lineRule="exact"/>
        <w:ind w:firstLine="640" w:firstLineChars="200"/>
        <w:rPr>
          <w:rFonts w:eastAsia="仿宋_GB2312"/>
          <w:sz w:val="32"/>
          <w:szCs w:val="32"/>
        </w:rPr>
      </w:pPr>
      <w:r>
        <w:rPr>
          <w:rFonts w:eastAsia="仿宋_GB2312"/>
          <w:sz w:val="32"/>
          <w:szCs w:val="32"/>
        </w:rPr>
        <w:t>若适用，还应当按照《医疗器械网络安全注册技术审查指导原则（2022年修订版）》的要求提交</w:t>
      </w:r>
      <w:r>
        <w:rPr>
          <w:rFonts w:hint="eastAsia" w:eastAsia="仿宋_GB2312"/>
          <w:sz w:val="32"/>
          <w:szCs w:val="32"/>
        </w:rPr>
        <w:t>相应研究资料</w:t>
      </w:r>
      <w:r>
        <w:rPr>
          <w:rFonts w:eastAsia="仿宋_GB2312"/>
          <w:sz w:val="32"/>
          <w:szCs w:val="32"/>
        </w:rPr>
        <w:t>。</w:t>
      </w:r>
    </w:p>
    <w:p w14:paraId="6F644131">
      <w:pPr>
        <w:spacing w:line="520" w:lineRule="exact"/>
        <w:ind w:firstLine="640" w:firstLineChars="200"/>
        <w:rPr>
          <w:rFonts w:eastAsia="仿宋_GB2312"/>
          <w:color w:val="000000"/>
          <w:sz w:val="32"/>
          <w:szCs w:val="32"/>
        </w:rPr>
      </w:pPr>
      <w:r>
        <w:rPr>
          <w:rFonts w:eastAsia="仿宋_GB2312"/>
          <w:color w:val="000000"/>
          <w:sz w:val="32"/>
          <w:szCs w:val="32"/>
        </w:rPr>
        <w:t>4.6</w:t>
      </w:r>
      <w:r>
        <w:rPr>
          <w:rFonts w:hint="eastAsia" w:eastAsia="仿宋_GB2312"/>
          <w:color w:val="000000"/>
          <w:sz w:val="32"/>
          <w:szCs w:val="32"/>
        </w:rPr>
        <w:t>联合使用</w:t>
      </w:r>
    </w:p>
    <w:p w14:paraId="6DCDCE04">
      <w:pPr>
        <w:spacing w:line="520" w:lineRule="exact"/>
        <w:rPr>
          <w:rFonts w:eastAsia="仿宋_GB2312"/>
          <w:color w:val="000000"/>
          <w:sz w:val="32"/>
          <w:szCs w:val="32"/>
        </w:rPr>
      </w:pPr>
      <w:r>
        <w:rPr>
          <w:rFonts w:hint="eastAsia" w:eastAsia="仿宋_GB2312"/>
          <w:color w:val="000000"/>
          <w:sz w:val="32"/>
          <w:szCs w:val="32"/>
        </w:rPr>
        <w:t>若医用中心吸引系统预期与已有医疗器械注册证的区域报警装置联合使用，应当提供证明联合使用安全有效的研究资料，包括互联基本信息、联合使用风险及控制措施、联合使用上的限制、兼容性研究等。</w:t>
      </w:r>
    </w:p>
    <w:p w14:paraId="0851EA28">
      <w:pPr>
        <w:spacing w:line="520" w:lineRule="exact"/>
        <w:ind w:firstLine="640" w:firstLineChars="200"/>
        <w:rPr>
          <w:rFonts w:eastAsia="仿宋_GB2312"/>
          <w:color w:val="000000"/>
          <w:sz w:val="32"/>
          <w:szCs w:val="32"/>
        </w:rPr>
      </w:pPr>
      <w:r>
        <w:rPr>
          <w:rFonts w:eastAsia="仿宋_GB2312"/>
          <w:color w:val="000000"/>
          <w:sz w:val="32"/>
          <w:szCs w:val="32"/>
        </w:rPr>
        <w:t>4.7</w:t>
      </w:r>
      <w:r>
        <w:rPr>
          <w:rFonts w:hint="eastAsia" w:eastAsia="仿宋_GB2312"/>
          <w:sz w:val="32"/>
          <w:szCs w:val="32"/>
        </w:rPr>
        <w:t>可用性工程研究资料</w:t>
      </w:r>
    </w:p>
    <w:p w14:paraId="3E7F5813">
      <w:pPr>
        <w:spacing w:line="520" w:lineRule="exact"/>
        <w:ind w:firstLine="640" w:firstLineChars="200"/>
        <w:rPr>
          <w:rFonts w:eastAsia="仿宋_GB2312"/>
          <w:sz w:val="32"/>
          <w:szCs w:val="32"/>
        </w:rPr>
      </w:pPr>
      <w:r>
        <w:rPr>
          <w:rFonts w:hint="eastAsia" w:eastAsia="仿宋_GB2312"/>
          <w:sz w:val="32"/>
          <w:szCs w:val="32"/>
        </w:rPr>
        <w:t>需考虑医用中心吸引系统的使用风险，按照《医疗器械可用性工程注册审查指导原则》的要求，需提交可用性工程</w:t>
      </w:r>
      <w:r>
        <w:rPr>
          <w:rFonts w:eastAsia="仿宋_GB2312"/>
          <w:sz w:val="32"/>
          <w:szCs w:val="32"/>
        </w:rPr>
        <w:t>研究报告</w:t>
      </w:r>
      <w:r>
        <w:rPr>
          <w:rFonts w:hint="eastAsia" w:eastAsia="仿宋_GB2312"/>
          <w:sz w:val="32"/>
          <w:szCs w:val="32"/>
        </w:rPr>
        <w:t>或</w:t>
      </w:r>
      <w:r>
        <w:rPr>
          <w:rFonts w:eastAsia="仿宋_GB2312"/>
          <w:sz w:val="32"/>
          <w:szCs w:val="32"/>
        </w:rPr>
        <w:t>使用错误评估报告。</w:t>
      </w:r>
    </w:p>
    <w:p w14:paraId="22A85DC7">
      <w:pPr>
        <w:spacing w:line="52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w:t>
      </w:r>
      <w:r>
        <w:rPr>
          <w:rFonts w:hint="eastAsia" w:eastAsia="仿宋_GB2312"/>
          <w:sz w:val="32"/>
          <w:szCs w:val="32"/>
        </w:rPr>
        <w:t>其他资料</w:t>
      </w:r>
    </w:p>
    <w:p w14:paraId="5C274FD5">
      <w:pPr>
        <w:autoSpaceDE w:val="0"/>
        <w:autoSpaceDN w:val="0"/>
        <w:adjustRightInd w:val="0"/>
        <w:spacing w:line="560" w:lineRule="exact"/>
        <w:ind w:firstLine="640" w:firstLineChars="200"/>
        <w:jc w:val="left"/>
        <w:rPr>
          <w:rFonts w:eastAsia="仿宋_GB2312"/>
          <w:color w:val="000000"/>
          <w:sz w:val="32"/>
          <w:szCs w:val="32"/>
        </w:rPr>
      </w:pPr>
      <w:r>
        <w:rPr>
          <w:rFonts w:hint="eastAsia" w:eastAsia="仿宋_GB2312"/>
          <w:sz w:val="32"/>
          <w:szCs w:val="32"/>
        </w:rPr>
        <w:t>医用中心吸引系统已列入《免于临床评价医疗器械目录》，可免于提交临床评价资料。</w:t>
      </w:r>
      <w:r>
        <w:rPr>
          <w:rFonts w:hint="eastAsia" w:eastAsia="仿宋_GB2312"/>
          <w:color w:val="000000"/>
          <w:sz w:val="32"/>
          <w:szCs w:val="32"/>
        </w:rPr>
        <w:t>注册申请人应当按照《列入免于进行临床评价医疗器械目录产品对比说明技术指导原则》，</w:t>
      </w:r>
      <w:r>
        <w:rPr>
          <w:rFonts w:eastAsia="仿宋_GB2312"/>
          <w:color w:val="000000"/>
          <w:sz w:val="32"/>
          <w:szCs w:val="32"/>
        </w:rPr>
        <w:t>提交申报产品与《目录》中已获准境内注册医疗器械的对比说明，</w:t>
      </w:r>
      <w:r>
        <w:rPr>
          <w:rFonts w:hint="eastAsia" w:eastAsia="仿宋_GB2312"/>
          <w:color w:val="000000"/>
          <w:sz w:val="32"/>
          <w:szCs w:val="32"/>
        </w:rPr>
        <w:t>从基本原理、结构组成、适用范围、所有性能要求、使用方法等方面进行对比，</w:t>
      </w:r>
      <w:r>
        <w:rPr>
          <w:rFonts w:eastAsia="仿宋_GB2312"/>
          <w:color w:val="000000"/>
          <w:sz w:val="32"/>
          <w:szCs w:val="32"/>
        </w:rPr>
        <w:t>若经对比，申报产品与对比产品存在差异，还</w:t>
      </w:r>
      <w:r>
        <w:rPr>
          <w:rFonts w:hint="eastAsia" w:eastAsia="仿宋_GB2312"/>
          <w:color w:val="000000"/>
          <w:sz w:val="32"/>
          <w:szCs w:val="32"/>
        </w:rPr>
        <w:t>应提交差异部分对安全有效性影响的分析研究资料。</w:t>
      </w:r>
    </w:p>
    <w:p w14:paraId="05B1E53D">
      <w:pPr>
        <w:autoSpaceDE w:val="0"/>
        <w:autoSpaceDN w:val="0"/>
        <w:adjustRightInd w:val="0"/>
        <w:spacing w:line="560" w:lineRule="exact"/>
        <w:ind w:firstLine="640" w:firstLineChars="200"/>
        <w:rPr>
          <w:rFonts w:eastAsia="仿宋_GB2312"/>
          <w:color w:val="000000"/>
          <w:sz w:val="32"/>
          <w:szCs w:val="32"/>
        </w:rPr>
      </w:pPr>
      <w:r>
        <w:rPr>
          <w:rFonts w:eastAsia="仿宋_GB2312"/>
          <w:color w:val="000000"/>
          <w:sz w:val="32"/>
          <w:szCs w:val="32"/>
        </w:rPr>
        <w:t>提交的</w:t>
      </w:r>
      <w:r>
        <w:rPr>
          <w:rFonts w:hint="eastAsia" w:eastAsia="仿宋_GB2312"/>
          <w:color w:val="000000"/>
          <w:sz w:val="32"/>
          <w:szCs w:val="32"/>
        </w:rPr>
        <w:t>研究</w:t>
      </w:r>
      <w:r>
        <w:rPr>
          <w:rFonts w:eastAsia="仿宋_GB2312"/>
          <w:color w:val="000000"/>
          <w:sz w:val="32"/>
          <w:szCs w:val="32"/>
        </w:rPr>
        <w:t>资料应能证明申报产品与《目录》所述的产品具有基本等同性。若无法证明申报产品与《目录》所述的产品具有基本等同性，则应开展临床评价。</w:t>
      </w:r>
    </w:p>
    <w:p w14:paraId="3224E097">
      <w:pPr>
        <w:spacing w:line="520" w:lineRule="exact"/>
        <w:ind w:firstLine="640" w:firstLineChars="200"/>
        <w:outlineLvl w:val="1"/>
        <w:rPr>
          <w:rFonts w:eastAsia="楷体_GB2312"/>
          <w:bCs/>
          <w:iCs/>
          <w:sz w:val="32"/>
          <w:szCs w:val="28"/>
        </w:rPr>
      </w:pPr>
      <w:r>
        <w:rPr>
          <w:rFonts w:eastAsia="楷体_GB2312"/>
          <w:bCs/>
          <w:iCs/>
          <w:sz w:val="32"/>
          <w:szCs w:val="28"/>
        </w:rPr>
        <w:t>（四）临床评价资料</w:t>
      </w:r>
    </w:p>
    <w:p w14:paraId="52E63D78">
      <w:pPr>
        <w:autoSpaceDE w:val="0"/>
        <w:autoSpaceDN w:val="0"/>
        <w:adjustRightInd w:val="0"/>
        <w:spacing w:line="520" w:lineRule="exact"/>
        <w:ind w:firstLine="640" w:firstLineChars="200"/>
        <w:rPr>
          <w:rFonts w:eastAsia="仿宋_GB2312"/>
          <w:color w:val="000000"/>
          <w:sz w:val="32"/>
          <w:szCs w:val="32"/>
        </w:rPr>
      </w:pPr>
      <w:r>
        <w:rPr>
          <w:rFonts w:hint="eastAsia" w:eastAsia="仿宋_GB2312"/>
          <w:color w:val="000000"/>
          <w:sz w:val="32"/>
          <w:szCs w:val="32"/>
        </w:rPr>
        <w:t>若需开展临床评价，则应按照《医疗器械临床评价技术指导原则》、《医疗器械临床评价等同性论证技术指导原则》等相关文件的要求开展临床评价</w:t>
      </w:r>
      <w:r>
        <w:rPr>
          <w:rFonts w:eastAsia="仿宋_GB2312"/>
          <w:color w:val="000000"/>
          <w:sz w:val="32"/>
          <w:szCs w:val="32"/>
        </w:rPr>
        <w:t>。</w:t>
      </w:r>
    </w:p>
    <w:p w14:paraId="1EE17939">
      <w:pPr>
        <w:spacing w:line="520" w:lineRule="exact"/>
        <w:ind w:firstLine="640" w:firstLineChars="200"/>
        <w:outlineLvl w:val="1"/>
        <w:rPr>
          <w:rFonts w:eastAsia="楷体_GB2312"/>
          <w:bCs/>
          <w:iCs/>
          <w:sz w:val="32"/>
          <w:szCs w:val="28"/>
        </w:rPr>
      </w:pPr>
      <w:r>
        <w:rPr>
          <w:rFonts w:eastAsia="楷体_GB2312"/>
          <w:bCs/>
          <w:iCs/>
          <w:sz w:val="32"/>
          <w:szCs w:val="28"/>
        </w:rPr>
        <w:t>（</w:t>
      </w:r>
      <w:r>
        <w:rPr>
          <w:rFonts w:hint="eastAsia" w:eastAsia="楷体_GB2312"/>
          <w:bCs/>
          <w:iCs/>
          <w:sz w:val="32"/>
          <w:szCs w:val="28"/>
        </w:rPr>
        <w:t>五</w:t>
      </w:r>
      <w:r>
        <w:rPr>
          <w:rFonts w:eastAsia="楷体_GB2312"/>
          <w:bCs/>
          <w:iCs/>
          <w:sz w:val="32"/>
          <w:szCs w:val="28"/>
        </w:rPr>
        <w:t>）产品说明书和标签要求</w:t>
      </w:r>
    </w:p>
    <w:p w14:paraId="31E22230">
      <w:pPr>
        <w:spacing w:line="520" w:lineRule="exact"/>
        <w:ind w:firstLine="640" w:firstLineChars="200"/>
        <w:rPr>
          <w:rFonts w:eastAsia="仿宋_GB2312"/>
          <w:sz w:val="32"/>
          <w:szCs w:val="28"/>
        </w:rPr>
      </w:pPr>
      <w:r>
        <w:rPr>
          <w:rFonts w:eastAsia="仿宋_GB2312"/>
          <w:sz w:val="32"/>
          <w:szCs w:val="28"/>
        </w:rPr>
        <w:t>说</w:t>
      </w:r>
      <w:r>
        <w:rPr>
          <w:rFonts w:eastAsia="仿宋_GB2312"/>
          <w:spacing w:val="2"/>
          <w:sz w:val="32"/>
          <w:szCs w:val="28"/>
        </w:rPr>
        <w:t>明书和标签应当符合《医疗器械说明书和标签管理规定》有关要求，</w:t>
      </w:r>
      <w:r>
        <w:rPr>
          <w:rFonts w:eastAsia="仿宋_GB2312"/>
          <w:sz w:val="32"/>
          <w:szCs w:val="28"/>
        </w:rPr>
        <w:t>并参照相应国家标准、行业标准的要求进行编写。说明书还应关注以下内容：</w:t>
      </w:r>
    </w:p>
    <w:p w14:paraId="615458E5">
      <w:pPr>
        <w:autoSpaceDE w:val="0"/>
        <w:autoSpaceDN w:val="0"/>
        <w:spacing w:line="52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明确</w:t>
      </w:r>
      <w:r>
        <w:rPr>
          <w:rFonts w:eastAsia="仿宋_GB2312"/>
          <w:kern w:val="0"/>
          <w:sz w:val="32"/>
          <w:szCs w:val="32"/>
        </w:rPr>
        <w:t>产品适用范围、主要性能指标、软件发布版本</w:t>
      </w:r>
      <w:r>
        <w:rPr>
          <w:rFonts w:hint="eastAsia" w:eastAsia="仿宋_GB2312"/>
          <w:kern w:val="0"/>
          <w:sz w:val="32"/>
          <w:szCs w:val="32"/>
        </w:rPr>
        <w:t>、产品不应于牙科和麻醉气体净化以及禁忌证。</w:t>
      </w:r>
    </w:p>
    <w:p w14:paraId="331A8AEA">
      <w:pPr>
        <w:autoSpaceDE w:val="0"/>
        <w:autoSpaceDN w:val="0"/>
        <w:spacing w:line="52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明确工作压力和设计流量范围；</w:t>
      </w:r>
    </w:p>
    <w:p w14:paraId="3516A18D">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3</w:t>
      </w:r>
      <w:r>
        <w:rPr>
          <w:rFonts w:eastAsia="仿宋_GB2312"/>
          <w:kern w:val="0"/>
          <w:sz w:val="32"/>
          <w:szCs w:val="32"/>
        </w:rPr>
        <w:t>.</w:t>
      </w:r>
      <w:r>
        <w:rPr>
          <w:rFonts w:hint="eastAsia" w:eastAsia="仿宋_GB2312"/>
          <w:kern w:val="0"/>
          <w:sz w:val="32"/>
          <w:szCs w:val="32"/>
        </w:rPr>
        <w:t>关于产品安装的说明，应明确按</w:t>
      </w:r>
      <w:r>
        <w:rPr>
          <w:rFonts w:eastAsia="仿宋_GB2312"/>
          <w:kern w:val="0"/>
          <w:sz w:val="32"/>
          <w:szCs w:val="32"/>
        </w:rPr>
        <w:t>GB50751</w:t>
      </w:r>
      <w:r>
        <w:rPr>
          <w:rFonts w:hint="eastAsia" w:eastAsia="仿宋_GB2312"/>
          <w:kern w:val="0"/>
          <w:sz w:val="32"/>
          <w:szCs w:val="32"/>
        </w:rPr>
        <w:t>和</w:t>
      </w:r>
      <w:r>
        <w:rPr>
          <w:rFonts w:eastAsia="仿宋_GB2312"/>
          <w:kern w:val="0"/>
          <w:sz w:val="32"/>
          <w:szCs w:val="32"/>
        </w:rPr>
        <w:t>GB/T 44059.1</w:t>
      </w:r>
      <w:r>
        <w:rPr>
          <w:rFonts w:hint="eastAsia" w:eastAsia="仿宋_GB2312"/>
          <w:kern w:val="0"/>
          <w:sz w:val="32"/>
          <w:szCs w:val="32"/>
        </w:rPr>
        <w:t>施工安装、测试和验收，包括但不限于以下提示内容：</w:t>
      </w:r>
    </w:p>
    <w:p w14:paraId="2E3E9913">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（1）真空泵的排气应符合医院环境卫生标准要求。排气口应设置有害气体警示标识；排气口应位于室外，不应与医用空气进气口位于同一高度，且与建筑物的门窗、其它开口的距离不应小于</w:t>
      </w:r>
      <w:r>
        <w:rPr>
          <w:rFonts w:eastAsia="仿宋_GB2312"/>
          <w:kern w:val="0"/>
          <w:sz w:val="32"/>
          <w:szCs w:val="32"/>
        </w:rPr>
        <w:t>3m</w:t>
      </w:r>
      <w:r>
        <w:rPr>
          <w:rFonts w:hint="eastAsia" w:eastAsia="仿宋_GB2312"/>
          <w:kern w:val="0"/>
          <w:sz w:val="32"/>
          <w:szCs w:val="32"/>
        </w:rPr>
        <w:t>；排气口气体的发散不应受季风、附近建筑、地形及其他因素的影响，排出的气体不应转移至其他人员工作或生活区域。</w:t>
      </w:r>
    </w:p>
    <w:p w14:paraId="314A1A2D">
      <w:pPr>
        <w:spacing w:line="520" w:lineRule="exact"/>
        <w:ind w:firstLine="640" w:firstLineChars="200"/>
        <w:rPr>
          <w:rFonts w:eastAsia="仿宋_GB2312"/>
          <w:color w:val="000000"/>
          <w:spacing w:val="-1"/>
          <w:sz w:val="32"/>
          <w:szCs w:val="32"/>
        </w:rPr>
      </w:pPr>
      <w:r>
        <w:rPr>
          <w:rFonts w:hint="eastAsia" w:eastAsia="仿宋_GB2312"/>
          <w:kern w:val="0"/>
          <w:sz w:val="32"/>
          <w:szCs w:val="32"/>
        </w:rPr>
        <w:t>（2）</w:t>
      </w:r>
      <w:r>
        <w:rPr>
          <w:rFonts w:hint="eastAsia" w:eastAsia="仿宋_GB2312"/>
          <w:color w:val="000000"/>
          <w:spacing w:val="-1"/>
          <w:sz w:val="32"/>
          <w:szCs w:val="32"/>
        </w:rPr>
        <w:t>液环式真空泵的排水应经污水处理合格后排放，且应符合现行国家标准的有关规定。</w:t>
      </w:r>
    </w:p>
    <w:p w14:paraId="064E18C2">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（3）焊接施工现场应保持空气流通或单独供应呼吸气体。</w:t>
      </w:r>
    </w:p>
    <w:p w14:paraId="256106E8">
      <w:pPr>
        <w:autoSpaceDE w:val="0"/>
        <w:autoSpaceDN w:val="0"/>
        <w:spacing w:line="520" w:lineRule="exact"/>
        <w:ind w:firstLine="638"/>
        <w:rPr>
          <w:rFonts w:eastAsia="仿宋_GB2312"/>
          <w:kern w:val="0"/>
          <w:sz w:val="32"/>
          <w:szCs w:val="32"/>
        </w:rPr>
      </w:pPr>
      <w:r>
        <w:rPr>
          <w:rFonts w:hint="eastAsia" w:eastAsia="仿宋_GB2312"/>
          <w:kern w:val="0"/>
          <w:sz w:val="32"/>
          <w:szCs w:val="32"/>
        </w:rPr>
        <w:t>（4）医用真空泵房与医疗卫生机构内部建筑物、构筑物的配置要求，应符合</w:t>
      </w:r>
      <w:r>
        <w:rPr>
          <w:rFonts w:eastAsia="仿宋_GB2312"/>
          <w:kern w:val="0"/>
          <w:sz w:val="32"/>
          <w:szCs w:val="32"/>
        </w:rPr>
        <w:t>GB 50751</w:t>
      </w:r>
      <w:r>
        <w:rPr>
          <w:rFonts w:hint="eastAsia" w:eastAsia="仿宋_GB2312"/>
          <w:kern w:val="0"/>
          <w:sz w:val="32"/>
          <w:szCs w:val="32"/>
        </w:rPr>
        <w:t>中</w:t>
      </w:r>
      <w:r>
        <w:rPr>
          <w:rFonts w:eastAsia="仿宋_GB2312"/>
          <w:kern w:val="0"/>
          <w:sz w:val="32"/>
          <w:szCs w:val="32"/>
        </w:rPr>
        <w:t>4.6.2</w:t>
      </w:r>
      <w:r>
        <w:rPr>
          <w:rFonts w:hint="eastAsia" w:eastAsia="仿宋_GB2312"/>
          <w:kern w:val="0"/>
          <w:sz w:val="32"/>
          <w:szCs w:val="32"/>
        </w:rPr>
        <w:t>的要求。</w:t>
      </w:r>
    </w:p>
    <w:p w14:paraId="71C75B8B">
      <w:pPr>
        <w:autoSpaceDE w:val="0"/>
        <w:autoSpaceDN w:val="0"/>
        <w:spacing w:line="520" w:lineRule="exact"/>
        <w:ind w:firstLine="638"/>
        <w:rPr>
          <w:rFonts w:eastAsia="仿宋_GB2312"/>
          <w:kern w:val="0"/>
          <w:sz w:val="32"/>
          <w:szCs w:val="32"/>
        </w:rPr>
      </w:pPr>
      <w:r>
        <w:rPr>
          <w:rFonts w:hint="eastAsia" w:eastAsia="仿宋_GB2312"/>
          <w:kern w:val="0"/>
          <w:sz w:val="32"/>
          <w:szCs w:val="32"/>
        </w:rPr>
        <w:t>（5）医用真空管材及附件宜进行脱脂处理。</w:t>
      </w:r>
    </w:p>
    <w:p w14:paraId="3F2B0C4A">
      <w:pPr>
        <w:autoSpaceDE w:val="0"/>
        <w:autoSpaceDN w:val="0"/>
        <w:spacing w:line="520" w:lineRule="exact"/>
        <w:ind w:firstLine="638"/>
        <w:rPr>
          <w:rFonts w:eastAsia="仿宋_GB2312"/>
          <w:kern w:val="0"/>
          <w:sz w:val="32"/>
          <w:szCs w:val="32"/>
        </w:rPr>
      </w:pPr>
      <w:r>
        <w:rPr>
          <w:rFonts w:hint="eastAsia" w:eastAsia="仿宋_GB2312"/>
          <w:kern w:val="0"/>
          <w:sz w:val="32"/>
          <w:szCs w:val="32"/>
        </w:rPr>
        <w:t>（6）医用真空泵站的安装与调试应符合</w:t>
      </w:r>
      <w:r>
        <w:rPr>
          <w:rFonts w:eastAsia="仿宋_GB2312"/>
          <w:kern w:val="0"/>
          <w:sz w:val="32"/>
          <w:szCs w:val="32"/>
        </w:rPr>
        <w:t>GB 50751</w:t>
      </w:r>
      <w:r>
        <w:rPr>
          <w:rFonts w:hint="eastAsia" w:eastAsia="仿宋_GB2312"/>
          <w:kern w:val="0"/>
          <w:sz w:val="32"/>
          <w:szCs w:val="32"/>
        </w:rPr>
        <w:t>中</w:t>
      </w:r>
      <w:r>
        <w:rPr>
          <w:rFonts w:eastAsia="仿宋_GB2312"/>
          <w:kern w:val="0"/>
          <w:sz w:val="32"/>
          <w:szCs w:val="32"/>
        </w:rPr>
        <w:t>10.3</w:t>
      </w:r>
      <w:r>
        <w:rPr>
          <w:rFonts w:hint="eastAsia" w:eastAsia="仿宋_GB2312"/>
          <w:kern w:val="0"/>
          <w:sz w:val="32"/>
          <w:szCs w:val="32"/>
        </w:rPr>
        <w:t>的要求。</w:t>
      </w:r>
    </w:p>
    <w:p w14:paraId="7384E43B">
      <w:pPr>
        <w:spacing w:line="520" w:lineRule="exact"/>
        <w:ind w:firstLine="640" w:firstLineChars="200"/>
        <w:rPr>
          <w:rFonts w:eastAsia="仿宋_GB2312"/>
          <w:sz w:val="32"/>
          <w:szCs w:val="28"/>
        </w:rPr>
      </w:pPr>
      <w:r>
        <w:rPr>
          <w:rFonts w:hint="eastAsia" w:eastAsia="仿宋_GB2312"/>
          <w:sz w:val="32"/>
          <w:szCs w:val="28"/>
        </w:rPr>
        <w:t>（7）医用真空不得用于三级、四级生物实验室及放射性沾染场所。</w:t>
      </w:r>
    </w:p>
    <w:p w14:paraId="5D9CF5A2">
      <w:pPr>
        <w:spacing w:line="520" w:lineRule="exact"/>
        <w:ind w:firstLine="640" w:firstLineChars="200"/>
        <w:rPr>
          <w:rFonts w:eastAsia="仿宋_GB2312"/>
          <w:sz w:val="32"/>
          <w:szCs w:val="28"/>
        </w:rPr>
      </w:pPr>
      <w:r>
        <w:rPr>
          <w:rFonts w:hint="eastAsia" w:eastAsia="仿宋_GB2312"/>
          <w:sz w:val="32"/>
          <w:szCs w:val="28"/>
        </w:rPr>
        <w:t>（8）医用真空泵机组应设置应急备用电源。</w:t>
      </w:r>
    </w:p>
    <w:p w14:paraId="1EE8FDD0">
      <w:pPr>
        <w:spacing w:line="520" w:lineRule="exact"/>
        <w:ind w:firstLine="640" w:firstLineChars="200"/>
        <w:rPr>
          <w:rFonts w:eastAsia="仿宋_GB2312"/>
          <w:sz w:val="32"/>
          <w:szCs w:val="28"/>
        </w:rPr>
      </w:pPr>
      <w:r>
        <w:rPr>
          <w:rFonts w:hint="eastAsia" w:eastAsia="仿宋_GB2312"/>
          <w:sz w:val="32"/>
          <w:szCs w:val="28"/>
        </w:rPr>
        <w:t>（9）医用中心系统验收应进行泄漏性试验、压力试验、防错接试验、监测与报警检验、医用真空终端处进行流量和压力检测。</w:t>
      </w:r>
    </w:p>
    <w:p w14:paraId="3ED6DAAA">
      <w:pPr>
        <w:autoSpaceDE w:val="0"/>
        <w:autoSpaceDN w:val="0"/>
        <w:spacing w:line="520" w:lineRule="exact"/>
        <w:ind w:firstLine="640" w:firstLineChars="200"/>
        <w:rPr>
          <w:rFonts w:eastAsia="仿宋_GB2312"/>
          <w:kern w:val="0"/>
          <w:sz w:val="32"/>
          <w:szCs w:val="32"/>
        </w:rPr>
      </w:pPr>
      <w:r>
        <w:rPr>
          <w:rFonts w:hint="eastAsia" w:eastAsia="仿宋_GB2312"/>
          <w:sz w:val="32"/>
          <w:szCs w:val="28"/>
        </w:rPr>
        <w:t>4</w:t>
      </w:r>
      <w:r>
        <w:rPr>
          <w:rFonts w:eastAsia="仿宋_GB2312"/>
          <w:kern w:val="0"/>
          <w:sz w:val="32"/>
          <w:szCs w:val="32"/>
        </w:rPr>
        <w:t>.</w:t>
      </w:r>
      <w:r>
        <w:rPr>
          <w:rFonts w:hint="eastAsia" w:eastAsia="仿宋_GB2312"/>
          <w:kern w:val="0"/>
          <w:sz w:val="32"/>
          <w:szCs w:val="32"/>
        </w:rPr>
        <w:t>对于产品使用方法、产品寿命、维护保养等情况的说明（如真空表的计量周期等）。</w:t>
      </w:r>
    </w:p>
    <w:p w14:paraId="669B0B15">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说明细菌过滤器和终端密封件的定期检查维护以及更换周期。</w:t>
      </w:r>
    </w:p>
    <w:p w14:paraId="65449097">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5</w:t>
      </w:r>
      <w:r>
        <w:rPr>
          <w:rFonts w:eastAsia="仿宋_GB2312"/>
          <w:kern w:val="0"/>
          <w:sz w:val="32"/>
          <w:szCs w:val="32"/>
        </w:rPr>
        <w:t>.所有报警信号和信息信号的说明。</w:t>
      </w:r>
    </w:p>
    <w:p w14:paraId="0DDE454C">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6</w:t>
      </w:r>
      <w:r>
        <w:rPr>
          <w:rFonts w:eastAsia="仿宋_GB2312"/>
          <w:kern w:val="0"/>
          <w:sz w:val="32"/>
          <w:szCs w:val="32"/>
        </w:rPr>
        <w:t>.必要的告知，包括告知用户本产品所使用的终端插座类型及符合的标准；所有截止阀在正常情况下（即打开或关闭）的位置；告知用户如何连接和断开可拆卸部件和附件；告知医疗机构医用中心吸引系统的安装图纸。</w:t>
      </w:r>
    </w:p>
    <w:p w14:paraId="3E090C3C">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7</w:t>
      </w:r>
      <w:r>
        <w:rPr>
          <w:rFonts w:eastAsia="仿宋_GB2312"/>
          <w:kern w:val="0"/>
          <w:sz w:val="32"/>
          <w:szCs w:val="32"/>
        </w:rPr>
        <w:t>.对于电磁兼容所声称的有关内容。</w:t>
      </w:r>
    </w:p>
    <w:p w14:paraId="6ED85ACF">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8</w:t>
      </w:r>
      <w:r>
        <w:rPr>
          <w:rFonts w:eastAsia="仿宋_GB2312"/>
          <w:kern w:val="0"/>
          <w:sz w:val="32"/>
          <w:szCs w:val="32"/>
        </w:rPr>
        <w:t>.对于安全性方面的注意事项</w:t>
      </w:r>
      <w:r>
        <w:rPr>
          <w:rFonts w:hint="eastAsia" w:eastAsia="仿宋_GB2312"/>
          <w:kern w:val="0"/>
          <w:sz w:val="32"/>
          <w:szCs w:val="32"/>
        </w:rPr>
        <w:t>：</w:t>
      </w:r>
    </w:p>
    <w:p w14:paraId="0F291650">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（1）真空泵机组、真空容器、各级监测、控制系统、水循环器、排污罐等定期检测的要求。</w:t>
      </w:r>
    </w:p>
    <w:p w14:paraId="078839BF">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（2）排污罐污水处理的要求。</w:t>
      </w:r>
    </w:p>
    <w:p w14:paraId="688FA7DE">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（3）医用中心吸引系统应有专人维护和管理，严禁非工作人员操作。</w:t>
      </w:r>
    </w:p>
    <w:p w14:paraId="7F75FDB7">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（4）对中心吸引系统定期维护检查的要求和对各级检测装置定期检查的要求。</w:t>
      </w:r>
    </w:p>
    <w:p w14:paraId="2F178EA7">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（5）系统各部分必须由专业人员检修，检修时要更换的零件应是原生产厂的同型号产品，不得任意采用代用品。</w:t>
      </w:r>
    </w:p>
    <w:p w14:paraId="6D575207">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（6）终端接头需要说明的信息。</w:t>
      </w:r>
    </w:p>
    <w:p w14:paraId="16E5BAD4">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（7）贮存和运输的说明、操作者能够求助的地址。</w:t>
      </w:r>
    </w:p>
    <w:p w14:paraId="486647FF">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（8）操作者或授权人来执行清洁、检查和预防性维护的说明及推荐频次。</w:t>
      </w:r>
    </w:p>
    <w:p w14:paraId="0B4C38A3">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（10）使用不正确插入件而引起的危害。</w:t>
      </w:r>
    </w:p>
    <w:p w14:paraId="4A237618">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（11）吸引终端在不使用时应及时关闭。</w:t>
      </w:r>
    </w:p>
    <w:p w14:paraId="1F2BBE4A">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（12）吸引瓶定期更换，防止堵塞管道的要求。</w:t>
      </w:r>
    </w:p>
    <w:p w14:paraId="6D7F6701">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（13）软管组件的信息（若适用）：</w:t>
      </w:r>
    </w:p>
    <w:p w14:paraId="20D9809A">
      <w:pPr>
        <w:autoSpaceDE w:val="0"/>
        <w:autoSpaceDN w:val="0"/>
        <w:spacing w:line="520" w:lineRule="exact"/>
        <w:ind w:firstLine="960" w:firstLineChars="300"/>
        <w:rPr>
          <w:rFonts w:eastAsia="仿宋_GB2312"/>
          <w:kern w:val="0"/>
          <w:sz w:val="32"/>
          <w:szCs w:val="32"/>
        </w:rPr>
      </w:pPr>
      <w:r>
        <w:rPr>
          <w:rFonts w:hint="eastAsia" w:eastAsia="仿宋_GB2312"/>
          <w:kern w:val="0"/>
          <w:sz w:val="32"/>
          <w:szCs w:val="32"/>
        </w:rPr>
        <w:t>a.使用制造商未推荐的润滑油而引起着火或爆炸的危险；</w:t>
      </w:r>
    </w:p>
    <w:p w14:paraId="7FE43F0B">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　b.使用不恰当接头的危害；</w:t>
      </w:r>
    </w:p>
    <w:p w14:paraId="4FAFE715">
      <w:pPr>
        <w:autoSpaceDE w:val="0"/>
        <w:autoSpaceDN w:val="0"/>
        <w:spacing w:line="520" w:lineRule="exact"/>
        <w:ind w:firstLine="960" w:firstLineChars="300"/>
        <w:rPr>
          <w:rFonts w:eastAsia="仿宋_GB2312"/>
          <w:kern w:val="0"/>
          <w:sz w:val="32"/>
          <w:szCs w:val="32"/>
        </w:rPr>
      </w:pPr>
      <w:r>
        <w:rPr>
          <w:rFonts w:hint="eastAsia" w:eastAsia="仿宋_GB2312"/>
          <w:kern w:val="0"/>
          <w:sz w:val="32"/>
          <w:szCs w:val="32"/>
        </w:rPr>
        <w:t>c.促成软管组件老化的因素；</w:t>
      </w:r>
    </w:p>
    <w:p w14:paraId="07CE6337">
      <w:pPr>
        <w:autoSpaceDE w:val="0"/>
        <w:autoSpaceDN w:val="0"/>
        <w:spacing w:line="520" w:lineRule="exact"/>
        <w:ind w:firstLine="960" w:firstLineChars="300"/>
        <w:rPr>
          <w:rFonts w:eastAsia="仿宋_GB2312"/>
          <w:kern w:val="0"/>
          <w:sz w:val="32"/>
          <w:szCs w:val="32"/>
        </w:rPr>
      </w:pPr>
      <w:r>
        <w:rPr>
          <w:rFonts w:hint="eastAsia" w:eastAsia="仿宋_GB2312"/>
          <w:kern w:val="0"/>
          <w:sz w:val="32"/>
          <w:szCs w:val="32"/>
        </w:rPr>
        <w:t>d.两个或多个软管组件串连引起的压力和流量的损失；</w:t>
      </w:r>
    </w:p>
    <w:p w14:paraId="04C2027F">
      <w:pPr>
        <w:autoSpaceDE w:val="0"/>
        <w:autoSpaceDN w:val="0"/>
        <w:spacing w:line="520" w:lineRule="exact"/>
        <w:ind w:firstLine="960" w:firstLineChars="300"/>
        <w:rPr>
          <w:rFonts w:eastAsia="仿宋_GB2312"/>
          <w:kern w:val="0"/>
          <w:sz w:val="32"/>
          <w:szCs w:val="32"/>
        </w:rPr>
      </w:pPr>
      <w:r>
        <w:rPr>
          <w:rFonts w:hint="eastAsia" w:eastAsia="仿宋_GB2312"/>
          <w:kern w:val="0"/>
          <w:sz w:val="32"/>
          <w:szCs w:val="32"/>
        </w:rPr>
        <w:t>e.当断开“快速接头”时，由于压力突然释放引起的潜在伤害。</w:t>
      </w:r>
    </w:p>
    <w:p w14:paraId="765F635C">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（14）应有对标识标签含义的解释。</w:t>
      </w:r>
    </w:p>
    <w:p w14:paraId="34A78D46">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9</w:t>
      </w:r>
      <w:r>
        <w:rPr>
          <w:rFonts w:eastAsia="仿宋_GB2312"/>
          <w:kern w:val="0"/>
          <w:sz w:val="32"/>
          <w:szCs w:val="32"/>
        </w:rPr>
        <w:t>.常见故障及排除方法。</w:t>
      </w:r>
    </w:p>
    <w:p w14:paraId="628CB6DC">
      <w:pPr>
        <w:autoSpaceDE w:val="0"/>
        <w:autoSpaceDN w:val="0"/>
        <w:spacing w:line="520" w:lineRule="exact"/>
        <w:ind w:firstLine="640" w:firstLineChars="200"/>
        <w:rPr>
          <w:rFonts w:eastAsia="仿宋_GB2312"/>
          <w:kern w:val="0"/>
          <w:sz w:val="32"/>
          <w:szCs w:val="32"/>
        </w:rPr>
      </w:pPr>
      <w:r>
        <w:rPr>
          <w:rFonts w:hint="eastAsia" w:eastAsia="仿宋_GB2312"/>
          <w:kern w:val="0"/>
          <w:sz w:val="32"/>
          <w:szCs w:val="32"/>
        </w:rPr>
        <w:t>10.按照《医疗器械可用性工程注册审查指导原则》的要求，在说明书上明确相关信息。</w:t>
      </w:r>
    </w:p>
    <w:p w14:paraId="6CAA9C8D">
      <w:pPr>
        <w:spacing w:line="520" w:lineRule="exact"/>
        <w:ind w:firstLine="640" w:firstLineChars="200"/>
        <w:outlineLvl w:val="1"/>
        <w:rPr>
          <w:rFonts w:eastAsia="楷体_GB2312"/>
          <w:bCs/>
          <w:iCs/>
          <w:sz w:val="32"/>
          <w:szCs w:val="28"/>
        </w:rPr>
      </w:pPr>
      <w:r>
        <w:rPr>
          <w:rFonts w:eastAsia="楷体_GB2312"/>
          <w:bCs/>
          <w:iCs/>
          <w:sz w:val="32"/>
          <w:szCs w:val="28"/>
        </w:rPr>
        <w:t>（六）质量管理体系文件</w:t>
      </w:r>
    </w:p>
    <w:p w14:paraId="6E2F681F">
      <w:pPr>
        <w:autoSpaceDE w:val="0"/>
        <w:autoSpaceDN w:val="0"/>
        <w:adjustRightInd w:val="0"/>
        <w:spacing w:line="520" w:lineRule="exact"/>
        <w:ind w:firstLine="640" w:firstLineChars="200"/>
        <w:rPr>
          <w:rFonts w:eastAsia="仿宋_GB2312"/>
          <w:color w:val="000000"/>
          <w:sz w:val="32"/>
          <w:szCs w:val="32"/>
        </w:rPr>
      </w:pPr>
      <w:r>
        <w:rPr>
          <w:rFonts w:eastAsia="仿宋_GB2312"/>
          <w:color w:val="000000"/>
          <w:sz w:val="32"/>
          <w:szCs w:val="32"/>
        </w:rPr>
        <w:t>生产制造信息</w:t>
      </w:r>
    </w:p>
    <w:p w14:paraId="61089CEE">
      <w:pPr>
        <w:autoSpaceDE w:val="0"/>
        <w:autoSpaceDN w:val="0"/>
        <w:adjustRightInd w:val="0"/>
        <w:spacing w:line="520" w:lineRule="exact"/>
        <w:ind w:firstLine="640" w:firstLineChars="200"/>
        <w:rPr>
          <w:rFonts w:eastAsia="仿宋_GB2312"/>
          <w:color w:val="000000"/>
          <w:sz w:val="32"/>
          <w:szCs w:val="32"/>
        </w:rPr>
      </w:pPr>
      <w:r>
        <w:rPr>
          <w:rFonts w:eastAsia="仿宋_GB2312"/>
          <w:color w:val="000000"/>
          <w:sz w:val="32"/>
          <w:szCs w:val="32"/>
        </w:rPr>
        <w:t>1.应当明确产品生产工艺过程</w:t>
      </w:r>
    </w:p>
    <w:p w14:paraId="2E0A4FE0">
      <w:pPr>
        <w:autoSpaceDE w:val="0"/>
        <w:autoSpaceDN w:val="0"/>
        <w:adjustRightInd w:val="0"/>
        <w:spacing w:line="520" w:lineRule="exact"/>
        <w:ind w:firstLine="640" w:firstLineChars="200"/>
        <w:rPr>
          <w:rFonts w:eastAsia="仿宋_GB2312"/>
          <w:color w:val="000000"/>
          <w:sz w:val="32"/>
          <w:szCs w:val="32"/>
        </w:rPr>
      </w:pPr>
      <w:r>
        <w:rPr>
          <w:rFonts w:eastAsia="仿宋_GB2312"/>
          <w:color w:val="000000"/>
          <w:sz w:val="32"/>
          <w:szCs w:val="32"/>
        </w:rPr>
        <w:t>工艺过程可采用流程图的形式，并说明其每道工序及接收和放行标准，同时对过程控制要点进行详细说明。</w:t>
      </w:r>
    </w:p>
    <w:p w14:paraId="17F4D7CA">
      <w:pPr>
        <w:autoSpaceDE w:val="0"/>
        <w:autoSpaceDN w:val="0"/>
        <w:adjustRightInd w:val="0"/>
        <w:spacing w:line="520" w:lineRule="exact"/>
        <w:ind w:firstLine="640" w:firstLineChars="200"/>
        <w:rPr>
          <w:rFonts w:eastAsia="仿宋_GB2312"/>
          <w:color w:val="000000"/>
          <w:sz w:val="32"/>
          <w:szCs w:val="32"/>
        </w:rPr>
      </w:pPr>
      <w:r>
        <w:rPr>
          <w:rFonts w:eastAsia="仿宋_GB2312"/>
          <w:color w:val="000000"/>
          <w:sz w:val="32"/>
          <w:szCs w:val="32"/>
        </w:rPr>
        <w:t>2.生产场地</w:t>
      </w:r>
    </w:p>
    <w:p w14:paraId="52725FE6">
      <w:pPr>
        <w:autoSpaceDE w:val="0"/>
        <w:autoSpaceDN w:val="0"/>
        <w:spacing w:line="520" w:lineRule="exact"/>
        <w:ind w:firstLine="640" w:firstLineChars="200"/>
        <w:rPr>
          <w:rFonts w:eastAsia="仿宋_GB2312"/>
          <w:color w:val="000000"/>
          <w:sz w:val="32"/>
          <w:szCs w:val="32"/>
        </w:rPr>
      </w:pPr>
      <w:r>
        <w:rPr>
          <w:rFonts w:eastAsia="仿宋_GB2312"/>
          <w:color w:val="000000"/>
          <w:sz w:val="32"/>
          <w:szCs w:val="32"/>
        </w:rPr>
        <w:t>应详细说明产品生产场地地址、生产工艺布局、生产环境要求及周边情况。有多个研制、生产场地，应当概述每个研制、生产场地的实际情况。</w:t>
      </w:r>
    </w:p>
    <w:p w14:paraId="4E0506CB">
      <w:pPr>
        <w:spacing w:line="520" w:lineRule="exact"/>
        <w:ind w:firstLine="633" w:firstLineChars="198"/>
        <w:outlineLvl w:val="1"/>
        <w:rPr>
          <w:rFonts w:eastAsia="黑体"/>
          <w:color w:val="000000"/>
          <w:sz w:val="32"/>
          <w:szCs w:val="32"/>
        </w:rPr>
      </w:pPr>
      <w:r>
        <w:rPr>
          <w:rFonts w:hint="eastAsia" w:eastAsia="黑体"/>
          <w:color w:val="000000"/>
          <w:sz w:val="32"/>
          <w:szCs w:val="32"/>
        </w:rPr>
        <w:t>三</w:t>
      </w:r>
      <w:r>
        <w:rPr>
          <w:rFonts w:eastAsia="黑体"/>
          <w:color w:val="000000"/>
          <w:sz w:val="32"/>
          <w:szCs w:val="32"/>
        </w:rPr>
        <w:t>、参考文献：</w:t>
      </w:r>
    </w:p>
    <w:p w14:paraId="7B7911E4">
      <w:pPr>
        <w:spacing w:line="520" w:lineRule="exact"/>
        <w:ind w:right="-67" w:rightChars="-32" w:firstLine="640" w:firstLineChars="200"/>
        <w:rPr>
          <w:rFonts w:eastAsia="仿宋_GB2312"/>
          <w:color w:val="000000"/>
          <w:sz w:val="32"/>
          <w:szCs w:val="32"/>
        </w:rPr>
      </w:pPr>
      <w:r>
        <w:rPr>
          <w:rFonts w:eastAsia="仿宋_GB2312"/>
          <w:color w:val="000000"/>
          <w:sz w:val="32"/>
          <w:szCs w:val="32"/>
        </w:rPr>
        <w:t>[1]医疗器械监督管理条例[Z].</w:t>
      </w:r>
    </w:p>
    <w:p w14:paraId="6556DC20">
      <w:pPr>
        <w:spacing w:line="520" w:lineRule="exact"/>
        <w:ind w:right="-67" w:rightChars="-32" w:firstLine="640" w:firstLineChars="200"/>
        <w:rPr>
          <w:rFonts w:eastAsia="仿宋_GB2312"/>
          <w:color w:val="000000"/>
          <w:sz w:val="32"/>
          <w:szCs w:val="32"/>
        </w:rPr>
      </w:pPr>
      <w:r>
        <w:rPr>
          <w:rFonts w:eastAsia="仿宋_GB2312"/>
          <w:color w:val="000000"/>
          <w:sz w:val="32"/>
          <w:szCs w:val="32"/>
        </w:rPr>
        <w:t>[2]医疗器械注册与备案管理办法[Z].</w:t>
      </w:r>
    </w:p>
    <w:p w14:paraId="38C8C7AB">
      <w:pPr>
        <w:spacing w:line="520" w:lineRule="exact"/>
        <w:ind w:right="-67" w:rightChars="-32" w:firstLine="640" w:firstLineChars="200"/>
        <w:rPr>
          <w:rFonts w:eastAsia="仿宋_GB2312"/>
          <w:color w:val="000000"/>
          <w:sz w:val="32"/>
          <w:szCs w:val="32"/>
        </w:rPr>
      </w:pPr>
      <w:r>
        <w:rPr>
          <w:rFonts w:eastAsia="仿宋_GB2312"/>
          <w:color w:val="000000"/>
          <w:sz w:val="32"/>
          <w:szCs w:val="32"/>
        </w:rPr>
        <w:t>[3]医疗器械说明书和标签管理规定[Z].</w:t>
      </w:r>
    </w:p>
    <w:p w14:paraId="4E6977DA">
      <w:pPr>
        <w:spacing w:line="520" w:lineRule="exact"/>
        <w:ind w:right="-67" w:rightChars="-32" w:firstLine="640" w:firstLineChars="200"/>
        <w:rPr>
          <w:rFonts w:eastAsia="仿宋_GB2312"/>
          <w:color w:val="000000"/>
          <w:sz w:val="32"/>
          <w:szCs w:val="32"/>
        </w:rPr>
      </w:pPr>
      <w:r>
        <w:rPr>
          <w:rFonts w:eastAsia="仿宋_GB2312"/>
          <w:color w:val="000000"/>
          <w:sz w:val="32"/>
          <w:szCs w:val="32"/>
        </w:rPr>
        <w:t>[4]医疗器械通用名称命名规则[Z].</w:t>
      </w:r>
    </w:p>
    <w:p w14:paraId="3F5A421E">
      <w:pPr>
        <w:spacing w:line="520" w:lineRule="exact"/>
        <w:ind w:right="-67" w:rightChars="-32" w:firstLine="640" w:firstLineChars="200"/>
        <w:rPr>
          <w:rFonts w:eastAsia="仿宋_GB2312"/>
          <w:color w:val="000000"/>
          <w:sz w:val="32"/>
          <w:szCs w:val="32"/>
        </w:rPr>
      </w:pPr>
      <w:r>
        <w:rPr>
          <w:rFonts w:eastAsia="仿宋_GB2312"/>
          <w:color w:val="000000"/>
          <w:sz w:val="32"/>
          <w:szCs w:val="32"/>
        </w:rPr>
        <w:t>[5]医疗器械分类目录[Z].</w:t>
      </w:r>
    </w:p>
    <w:p w14:paraId="64E02CCF">
      <w:pPr>
        <w:spacing w:line="520" w:lineRule="exact"/>
        <w:ind w:right="-67" w:rightChars="-32" w:firstLine="640" w:firstLineChars="200"/>
        <w:rPr>
          <w:rFonts w:eastAsia="仿宋_GB2312"/>
          <w:color w:val="000000"/>
          <w:sz w:val="32"/>
          <w:szCs w:val="32"/>
        </w:rPr>
      </w:pPr>
      <w:r>
        <w:rPr>
          <w:rFonts w:eastAsia="仿宋_GB2312"/>
          <w:color w:val="000000"/>
          <w:sz w:val="32"/>
          <w:szCs w:val="32"/>
        </w:rPr>
        <w:t>[6]医疗器械注册单元划分指导原则[Z].</w:t>
      </w:r>
    </w:p>
    <w:p w14:paraId="71C86971">
      <w:pPr>
        <w:spacing w:line="520" w:lineRule="exact"/>
        <w:ind w:right="-67" w:rightChars="-32" w:firstLine="640" w:firstLineChars="200"/>
        <w:rPr>
          <w:rFonts w:eastAsia="仿宋_GB2312"/>
          <w:color w:val="000000"/>
          <w:sz w:val="32"/>
          <w:szCs w:val="32"/>
        </w:rPr>
      </w:pPr>
      <w:r>
        <w:rPr>
          <w:rFonts w:eastAsia="仿宋_GB2312"/>
          <w:color w:val="000000"/>
          <w:sz w:val="32"/>
          <w:szCs w:val="32"/>
        </w:rPr>
        <w:t>[7]有源医疗器械使用期限注册技术审查指导原则[Z].</w:t>
      </w:r>
    </w:p>
    <w:p w14:paraId="44325622">
      <w:pPr>
        <w:spacing w:line="520" w:lineRule="exact"/>
        <w:ind w:right="-67" w:rightChars="-32" w:firstLine="640" w:firstLineChars="200"/>
        <w:rPr>
          <w:rFonts w:eastAsia="仿宋_GB2312"/>
          <w:color w:val="000000"/>
          <w:sz w:val="32"/>
          <w:szCs w:val="32"/>
        </w:rPr>
      </w:pPr>
      <w:r>
        <w:rPr>
          <w:rFonts w:eastAsia="仿宋_GB2312"/>
          <w:color w:val="000000"/>
          <w:sz w:val="32"/>
          <w:szCs w:val="32"/>
        </w:rPr>
        <w:t>[8]医疗器械网络安全注册技术审查指导原则（2022年修订版）[Z].</w:t>
      </w:r>
    </w:p>
    <w:p w14:paraId="43D47C4F">
      <w:pPr>
        <w:spacing w:line="520" w:lineRule="exact"/>
        <w:ind w:right="-67" w:rightChars="-32" w:firstLine="640" w:firstLineChars="200"/>
        <w:rPr>
          <w:rFonts w:eastAsia="仿宋_GB2312"/>
          <w:color w:val="000000"/>
          <w:sz w:val="32"/>
          <w:szCs w:val="32"/>
        </w:rPr>
      </w:pPr>
      <w:r>
        <w:rPr>
          <w:rFonts w:eastAsia="仿宋_GB2312"/>
          <w:color w:val="000000"/>
          <w:sz w:val="32"/>
          <w:szCs w:val="32"/>
        </w:rPr>
        <w:t>[9]医疗器械软件注册技术审查指导原则（2022年修订版）[Z].</w:t>
      </w:r>
    </w:p>
    <w:p w14:paraId="5A678AC1">
      <w:pPr>
        <w:spacing w:line="520" w:lineRule="exact"/>
        <w:ind w:right="-67" w:rightChars="-32"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0</w:t>
      </w:r>
      <w:r>
        <w:rPr>
          <w:rFonts w:eastAsia="仿宋_GB2312"/>
          <w:color w:val="000000"/>
          <w:sz w:val="32"/>
          <w:szCs w:val="32"/>
        </w:rPr>
        <w:t>]</w:t>
      </w:r>
      <w:r>
        <w:rPr>
          <w:rFonts w:hint="eastAsia" w:eastAsia="仿宋_GB2312"/>
          <w:sz w:val="32"/>
          <w:szCs w:val="32"/>
        </w:rPr>
        <w:t>医疗器械可用性工程注册审查指导原则</w:t>
      </w:r>
      <w:r>
        <w:rPr>
          <w:rFonts w:eastAsia="仿宋_GB2312"/>
          <w:color w:val="000000"/>
          <w:sz w:val="32"/>
          <w:szCs w:val="32"/>
        </w:rPr>
        <w:t>[Z].</w:t>
      </w:r>
    </w:p>
    <w:p w14:paraId="76AB66EE">
      <w:pPr>
        <w:spacing w:line="520" w:lineRule="exact"/>
        <w:ind w:right="-67" w:rightChars="-32"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1</w:t>
      </w:r>
      <w:r>
        <w:rPr>
          <w:rFonts w:eastAsia="仿宋_GB2312"/>
          <w:color w:val="000000"/>
          <w:sz w:val="32"/>
          <w:szCs w:val="32"/>
        </w:rPr>
        <w:t>]列入免于临床评价医疗器械目录产品对比说明技术指导原则[Z].</w:t>
      </w:r>
    </w:p>
    <w:p w14:paraId="58694968">
      <w:pPr>
        <w:spacing w:line="520" w:lineRule="exact"/>
        <w:ind w:right="-67" w:rightChars="-32"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2</w:t>
      </w:r>
      <w:r>
        <w:rPr>
          <w:rFonts w:eastAsia="仿宋_GB2312"/>
          <w:color w:val="000000"/>
          <w:sz w:val="32"/>
          <w:szCs w:val="32"/>
        </w:rPr>
        <w:t>]国家药监局关于发布免于临床评价医疗器械目录的通告[Z].</w:t>
      </w:r>
    </w:p>
    <w:p w14:paraId="445D4AE1">
      <w:pPr>
        <w:spacing w:line="520" w:lineRule="exact"/>
        <w:ind w:firstLine="640" w:firstLineChars="200"/>
      </w:pPr>
      <w:r>
        <w:rPr>
          <w:rFonts w:eastAsia="仿宋_GB2312"/>
          <w:color w:val="000000"/>
          <w:sz w:val="32"/>
          <w:szCs w:val="32"/>
        </w:rPr>
        <w:t>[</w:t>
      </w:r>
      <w:r>
        <w:rPr>
          <w:rFonts w:hint="eastAsia" w:eastAsia="仿宋_GB2312"/>
          <w:color w:val="000000"/>
          <w:sz w:val="32"/>
          <w:szCs w:val="32"/>
        </w:rPr>
        <w:t>13</w:t>
      </w:r>
      <w:r>
        <w:rPr>
          <w:rFonts w:eastAsia="仿宋_GB2312"/>
          <w:color w:val="000000"/>
          <w:sz w:val="32"/>
          <w:szCs w:val="32"/>
        </w:rPr>
        <w:t>]GB 9706.1,医用电气设备第1部分：基本安全和基本性能的通用要求[S].</w:t>
      </w:r>
    </w:p>
    <w:p w14:paraId="42279DAC">
      <w:pPr>
        <w:spacing w:line="52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4</w:t>
      </w:r>
      <w:r>
        <w:rPr>
          <w:rFonts w:eastAsia="仿宋_GB2312"/>
          <w:color w:val="000000"/>
          <w:sz w:val="32"/>
          <w:szCs w:val="32"/>
        </w:rPr>
        <w:t>]GB 50751,医用气体工程技术规范[S].</w:t>
      </w:r>
    </w:p>
    <w:p w14:paraId="418132BB">
      <w:pPr>
        <w:spacing w:line="52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5</w:t>
      </w:r>
      <w:r>
        <w:rPr>
          <w:rFonts w:eastAsia="仿宋_GB2312"/>
          <w:color w:val="000000"/>
          <w:sz w:val="32"/>
          <w:szCs w:val="32"/>
        </w:rPr>
        <w:t>]</w:t>
      </w:r>
      <w:r>
        <w:rPr>
          <w:rFonts w:eastAsia="仿宋_GB2312"/>
          <w:sz w:val="32"/>
          <w:szCs w:val="28"/>
        </w:rPr>
        <w:t>GB/T44059.1</w:t>
      </w:r>
      <w:r>
        <w:rPr>
          <w:rFonts w:eastAsia="仿宋_GB2312"/>
          <w:color w:val="000000"/>
          <w:sz w:val="32"/>
          <w:szCs w:val="32"/>
        </w:rPr>
        <w:t>,</w:t>
      </w:r>
      <w:r>
        <w:rPr>
          <w:rFonts w:hint="eastAsia" w:eastAsia="仿宋_GB2312"/>
          <w:sz w:val="32"/>
          <w:szCs w:val="28"/>
        </w:rPr>
        <w:t>医用气体管道系统第</w:t>
      </w:r>
      <w:r>
        <w:rPr>
          <w:rFonts w:eastAsia="仿宋_GB2312"/>
          <w:sz w:val="32"/>
          <w:szCs w:val="28"/>
        </w:rPr>
        <w:t>1</w:t>
      </w:r>
      <w:r>
        <w:rPr>
          <w:rFonts w:hint="eastAsia" w:eastAsia="仿宋_GB2312"/>
          <w:sz w:val="32"/>
          <w:szCs w:val="28"/>
        </w:rPr>
        <w:t>部分：压缩医用气体和真空用管道系统</w:t>
      </w:r>
      <w:r>
        <w:rPr>
          <w:rFonts w:eastAsia="仿宋_GB2312"/>
          <w:color w:val="000000"/>
          <w:sz w:val="32"/>
          <w:szCs w:val="32"/>
        </w:rPr>
        <w:t>[S].</w:t>
      </w:r>
    </w:p>
    <w:p w14:paraId="33714950">
      <w:pPr>
        <w:spacing w:line="520" w:lineRule="exact"/>
        <w:ind w:firstLine="480" w:firstLineChars="15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6</w:t>
      </w:r>
      <w:r>
        <w:rPr>
          <w:rFonts w:eastAsia="仿宋_GB2312"/>
          <w:color w:val="000000"/>
          <w:sz w:val="32"/>
          <w:szCs w:val="32"/>
        </w:rPr>
        <w:t>]</w:t>
      </w:r>
      <w:r>
        <w:rPr>
          <w:rFonts w:hint="eastAsia" w:eastAsia="仿宋_GB2312"/>
          <w:color w:val="000000"/>
          <w:sz w:val="32"/>
          <w:szCs w:val="32"/>
        </w:rPr>
        <w:t>GB/T 42062</w:t>
      </w:r>
      <w:r>
        <w:rPr>
          <w:rFonts w:eastAsia="仿宋_GB2312"/>
          <w:color w:val="000000"/>
          <w:sz w:val="32"/>
          <w:szCs w:val="32"/>
        </w:rPr>
        <w:t>,医疗器械风险管理应用[S].</w:t>
      </w:r>
    </w:p>
    <w:p w14:paraId="1CF508FE">
      <w:pPr>
        <w:spacing w:line="52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17</w:t>
      </w:r>
      <w:r>
        <w:rPr>
          <w:rFonts w:eastAsia="仿宋_GB2312"/>
          <w:color w:val="000000"/>
          <w:sz w:val="32"/>
          <w:szCs w:val="32"/>
        </w:rPr>
        <w:t xml:space="preserve">]YY 9706.102,医用电气设备第1-2部分：基本安全和基本性能的通用要求并列标准：电磁兼容要求和试验[S]. </w:t>
      </w:r>
    </w:p>
    <w:p w14:paraId="4537E606">
      <w:pPr>
        <w:spacing w:line="52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18</w:t>
      </w:r>
      <w:r>
        <w:rPr>
          <w:rFonts w:eastAsia="仿宋_GB2312"/>
          <w:color w:val="000000"/>
          <w:sz w:val="32"/>
          <w:szCs w:val="32"/>
        </w:rPr>
        <w:t>]YY9706.108,基本安全和基本性能的通用要求并列标准：通用要求,医用电气设备和医用电气系统中报警系统的测试和指南</w:t>
      </w:r>
    </w:p>
    <w:p w14:paraId="37B660D5">
      <w:pPr>
        <w:spacing w:line="52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9</w:t>
      </w:r>
      <w:r>
        <w:rPr>
          <w:rFonts w:eastAsia="仿宋_GB2312"/>
          <w:color w:val="000000"/>
          <w:sz w:val="32"/>
          <w:szCs w:val="32"/>
        </w:rPr>
        <w:t>]YY/T 018</w:t>
      </w:r>
      <w:r>
        <w:rPr>
          <w:rFonts w:hint="eastAsia" w:eastAsia="仿宋_GB2312"/>
          <w:color w:val="000000"/>
          <w:sz w:val="32"/>
          <w:szCs w:val="32"/>
        </w:rPr>
        <w:t>6</w:t>
      </w:r>
      <w:r>
        <w:rPr>
          <w:rFonts w:eastAsia="仿宋_GB2312"/>
          <w:color w:val="000000"/>
          <w:sz w:val="32"/>
          <w:szCs w:val="32"/>
        </w:rPr>
        <w:t>,医用中心吸引系统通用技术条件[S].</w:t>
      </w:r>
    </w:p>
    <w:p w14:paraId="158772C1">
      <w:pPr>
        <w:spacing w:line="52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20</w:t>
      </w:r>
      <w:r>
        <w:rPr>
          <w:rFonts w:eastAsia="仿宋_GB2312"/>
          <w:color w:val="000000"/>
          <w:sz w:val="32"/>
          <w:szCs w:val="32"/>
        </w:rPr>
        <w:t>]YY</w:t>
      </w:r>
      <w:r>
        <w:rPr>
          <w:rFonts w:hint="eastAsia" w:eastAsia="仿宋_GB2312"/>
          <w:color w:val="000000"/>
          <w:sz w:val="32"/>
          <w:szCs w:val="32"/>
        </w:rPr>
        <w:t xml:space="preserve">/T </w:t>
      </w:r>
      <w:r>
        <w:rPr>
          <w:rFonts w:eastAsia="仿宋_GB2312"/>
          <w:color w:val="000000"/>
          <w:sz w:val="32"/>
          <w:szCs w:val="32"/>
        </w:rPr>
        <w:t>0801.1,医用气体管道系统终端第1部分：用于压缩医用气体和真空的终端[S].</w:t>
      </w:r>
    </w:p>
    <w:p w14:paraId="3922AC55">
      <w:pPr>
        <w:spacing w:line="520" w:lineRule="exact"/>
        <w:ind w:firstLine="640" w:firstLineChars="200"/>
        <w:rPr>
          <w:rFonts w:eastAsia="仿宋_GB2312"/>
          <w:color w:val="000000"/>
          <w:sz w:val="32"/>
          <w:szCs w:val="32"/>
        </w:rPr>
      </w:pPr>
      <w:r>
        <w:rPr>
          <w:rFonts w:eastAsia="仿宋_GB2312"/>
          <w:color w:val="000000"/>
          <w:sz w:val="32"/>
          <w:szCs w:val="32"/>
        </w:rPr>
        <w:t xml:space="preserve">[21] YY/T </w:t>
      </w:r>
      <w:r>
        <w:rPr>
          <w:rFonts w:hint="eastAsia" w:eastAsia="仿宋_GB2312"/>
          <w:color w:val="000000"/>
          <w:sz w:val="32"/>
          <w:szCs w:val="32"/>
        </w:rPr>
        <w:t>0799</w:t>
      </w:r>
      <w:r>
        <w:rPr>
          <w:rFonts w:eastAsia="仿宋_GB2312"/>
          <w:color w:val="000000"/>
          <w:sz w:val="32"/>
          <w:szCs w:val="32"/>
        </w:rPr>
        <w:t>,医用气体</w:t>
      </w:r>
      <w:r>
        <w:rPr>
          <w:rFonts w:hint="eastAsia" w:eastAsia="仿宋_GB2312"/>
          <w:color w:val="000000"/>
          <w:sz w:val="32"/>
          <w:szCs w:val="32"/>
        </w:rPr>
        <w:t>低压</w:t>
      </w:r>
      <w:r>
        <w:rPr>
          <w:rFonts w:eastAsia="仿宋_GB2312"/>
          <w:color w:val="000000"/>
          <w:sz w:val="32"/>
          <w:szCs w:val="32"/>
        </w:rPr>
        <w:t>软管组件[S].</w:t>
      </w:r>
    </w:p>
    <w:p w14:paraId="5B0793D4">
      <w:pPr>
        <w:spacing w:line="52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22</w:t>
      </w:r>
      <w:r>
        <w:rPr>
          <w:rFonts w:eastAsia="仿宋_GB2312"/>
          <w:color w:val="000000"/>
          <w:sz w:val="32"/>
          <w:szCs w:val="32"/>
        </w:rPr>
        <w:t>]GB/T 16886.1</w:t>
      </w:r>
      <w:r>
        <w:rPr>
          <w:rFonts w:hint="eastAsia" w:eastAsia="仿宋_GB2312"/>
          <w:color w:val="000000"/>
          <w:sz w:val="32"/>
          <w:szCs w:val="32"/>
        </w:rPr>
        <w:t>，</w:t>
      </w:r>
      <w:r>
        <w:rPr>
          <w:rFonts w:eastAsia="仿宋_GB2312"/>
          <w:color w:val="000000"/>
          <w:sz w:val="32"/>
          <w:szCs w:val="32"/>
        </w:rPr>
        <w:t>医疗器械生物学评价第1部分：风险管理过程中的评价与试验[S].</w:t>
      </w:r>
    </w:p>
    <w:p w14:paraId="5312D547">
      <w:pPr>
        <w:spacing w:line="52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23</w:t>
      </w:r>
      <w:r>
        <w:rPr>
          <w:rFonts w:eastAsia="仿宋_GB2312"/>
          <w:color w:val="000000"/>
          <w:sz w:val="32"/>
          <w:szCs w:val="32"/>
        </w:rPr>
        <w:t>]GB/T 14710</w:t>
      </w:r>
      <w:r>
        <w:rPr>
          <w:rFonts w:hint="eastAsia" w:eastAsia="仿宋_GB2312"/>
          <w:color w:val="000000"/>
          <w:sz w:val="32"/>
          <w:szCs w:val="32"/>
        </w:rPr>
        <w:t>，</w:t>
      </w:r>
      <w:r>
        <w:rPr>
          <w:rFonts w:eastAsia="仿宋_GB2312"/>
          <w:color w:val="000000"/>
          <w:sz w:val="32"/>
          <w:szCs w:val="32"/>
        </w:rPr>
        <w:t>医用电器环境要求及试验方法[S].</w:t>
      </w:r>
    </w:p>
    <w:p w14:paraId="20ACE8ED">
      <w:pPr>
        <w:spacing w:line="520" w:lineRule="exact"/>
        <w:ind w:firstLine="640" w:firstLineChars="200"/>
        <w:rPr>
          <w:rFonts w:eastAsia="仿宋_GB2312"/>
          <w:color w:val="000000"/>
          <w:sz w:val="32"/>
          <w:szCs w:val="32"/>
        </w:rPr>
      </w:pPr>
    </w:p>
    <w:sectPr>
      <w:pgSz w:w="11906" w:h="16838"/>
      <w:pgMar w:top="2098" w:right="1588" w:bottom="2098" w:left="1588" w:header="851" w:footer="992" w:gutter="0"/>
      <w:pgBorders w:offsetFrom="page">
        <w:top w:val="single" w:color="FFFFFF" w:sz="8" w:space="24"/>
        <w:left w:val="single" w:color="FFFFFF" w:sz="8" w:space="24"/>
        <w:bottom w:val="single" w:color="FFFFFF" w:sz="8" w:space="24"/>
        <w:right w:val="single" w:color="FFFFFF" w:sz="8" w:space="24"/>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D9D4E">
    <w:pPr>
      <w:pStyle w:val="6"/>
      <w:jc w:val="righ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p w14:paraId="339BD3AB">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8399F">
    <w:pPr>
      <w:pStyle w:val="6"/>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hmNjAzMWJlZjFkMmQwODUwMTJkYzE2ODFiYmFmYTcifQ=="/>
  </w:docVars>
  <w:rsids>
    <w:rsidRoot w:val="0060386C"/>
    <w:rsid w:val="00003EC0"/>
    <w:rsid w:val="00011426"/>
    <w:rsid w:val="00011B2C"/>
    <w:rsid w:val="00014818"/>
    <w:rsid w:val="00015A52"/>
    <w:rsid w:val="00022441"/>
    <w:rsid w:val="0002677F"/>
    <w:rsid w:val="000267DA"/>
    <w:rsid w:val="000268DB"/>
    <w:rsid w:val="00033681"/>
    <w:rsid w:val="00041215"/>
    <w:rsid w:val="00043195"/>
    <w:rsid w:val="000458FD"/>
    <w:rsid w:val="00046DE8"/>
    <w:rsid w:val="00051525"/>
    <w:rsid w:val="000519FA"/>
    <w:rsid w:val="000526CC"/>
    <w:rsid w:val="0005341F"/>
    <w:rsid w:val="000561BC"/>
    <w:rsid w:val="00057522"/>
    <w:rsid w:val="00060523"/>
    <w:rsid w:val="00060976"/>
    <w:rsid w:val="0006160D"/>
    <w:rsid w:val="00061ED4"/>
    <w:rsid w:val="00063E8C"/>
    <w:rsid w:val="000649DE"/>
    <w:rsid w:val="00065F45"/>
    <w:rsid w:val="00066207"/>
    <w:rsid w:val="000675E8"/>
    <w:rsid w:val="00067B17"/>
    <w:rsid w:val="00077A83"/>
    <w:rsid w:val="000818E9"/>
    <w:rsid w:val="00081D24"/>
    <w:rsid w:val="000862B9"/>
    <w:rsid w:val="00092060"/>
    <w:rsid w:val="0009233B"/>
    <w:rsid w:val="000927FD"/>
    <w:rsid w:val="00092E7E"/>
    <w:rsid w:val="000A1234"/>
    <w:rsid w:val="000A224F"/>
    <w:rsid w:val="000A7E98"/>
    <w:rsid w:val="000B0A1A"/>
    <w:rsid w:val="000B1163"/>
    <w:rsid w:val="000B29CC"/>
    <w:rsid w:val="000B55E8"/>
    <w:rsid w:val="000B5C28"/>
    <w:rsid w:val="000C0E4A"/>
    <w:rsid w:val="000C1291"/>
    <w:rsid w:val="000C14E3"/>
    <w:rsid w:val="000C3BB2"/>
    <w:rsid w:val="000C4D6A"/>
    <w:rsid w:val="000C54D7"/>
    <w:rsid w:val="000C5D02"/>
    <w:rsid w:val="000D1A1C"/>
    <w:rsid w:val="000D1B17"/>
    <w:rsid w:val="000D4090"/>
    <w:rsid w:val="000D44D9"/>
    <w:rsid w:val="000D681C"/>
    <w:rsid w:val="000D7BD1"/>
    <w:rsid w:val="000E0C8F"/>
    <w:rsid w:val="000E47F2"/>
    <w:rsid w:val="000E4DBE"/>
    <w:rsid w:val="000E67F8"/>
    <w:rsid w:val="000E7C09"/>
    <w:rsid w:val="000F20AE"/>
    <w:rsid w:val="000F383D"/>
    <w:rsid w:val="000F39D1"/>
    <w:rsid w:val="000F3E48"/>
    <w:rsid w:val="000F4B39"/>
    <w:rsid w:val="000F723B"/>
    <w:rsid w:val="000F75CF"/>
    <w:rsid w:val="001016E4"/>
    <w:rsid w:val="00101E3C"/>
    <w:rsid w:val="001045A7"/>
    <w:rsid w:val="0010661F"/>
    <w:rsid w:val="00106A2F"/>
    <w:rsid w:val="001125E9"/>
    <w:rsid w:val="0011268F"/>
    <w:rsid w:val="001141EC"/>
    <w:rsid w:val="00114660"/>
    <w:rsid w:val="00116CCC"/>
    <w:rsid w:val="0011784D"/>
    <w:rsid w:val="00121BE7"/>
    <w:rsid w:val="00121CF3"/>
    <w:rsid w:val="00130039"/>
    <w:rsid w:val="001340E2"/>
    <w:rsid w:val="00135CE1"/>
    <w:rsid w:val="00137F57"/>
    <w:rsid w:val="00140BF9"/>
    <w:rsid w:val="00143A23"/>
    <w:rsid w:val="00143DF5"/>
    <w:rsid w:val="00145234"/>
    <w:rsid w:val="00145D25"/>
    <w:rsid w:val="001479EF"/>
    <w:rsid w:val="00150C3C"/>
    <w:rsid w:val="00154030"/>
    <w:rsid w:val="00154380"/>
    <w:rsid w:val="001544A1"/>
    <w:rsid w:val="00154AA7"/>
    <w:rsid w:val="00154FF3"/>
    <w:rsid w:val="001556E2"/>
    <w:rsid w:val="00155E88"/>
    <w:rsid w:val="001603AE"/>
    <w:rsid w:val="00160716"/>
    <w:rsid w:val="001626C9"/>
    <w:rsid w:val="00162D90"/>
    <w:rsid w:val="00162F37"/>
    <w:rsid w:val="0016329F"/>
    <w:rsid w:val="00164316"/>
    <w:rsid w:val="001658CD"/>
    <w:rsid w:val="001709C4"/>
    <w:rsid w:val="00181314"/>
    <w:rsid w:val="00184046"/>
    <w:rsid w:val="00184E4E"/>
    <w:rsid w:val="00186458"/>
    <w:rsid w:val="001865BE"/>
    <w:rsid w:val="00190244"/>
    <w:rsid w:val="00196AB3"/>
    <w:rsid w:val="00196CEC"/>
    <w:rsid w:val="001A0B7D"/>
    <w:rsid w:val="001A197E"/>
    <w:rsid w:val="001A205F"/>
    <w:rsid w:val="001A2C8F"/>
    <w:rsid w:val="001A373C"/>
    <w:rsid w:val="001A445E"/>
    <w:rsid w:val="001A7C2D"/>
    <w:rsid w:val="001B45BC"/>
    <w:rsid w:val="001B4CE7"/>
    <w:rsid w:val="001B6A3D"/>
    <w:rsid w:val="001B6E30"/>
    <w:rsid w:val="001C43D4"/>
    <w:rsid w:val="001C50EC"/>
    <w:rsid w:val="001C53CC"/>
    <w:rsid w:val="001C5465"/>
    <w:rsid w:val="001C5A8A"/>
    <w:rsid w:val="001D02A8"/>
    <w:rsid w:val="001D1154"/>
    <w:rsid w:val="001D2456"/>
    <w:rsid w:val="001D2EDD"/>
    <w:rsid w:val="001D3E93"/>
    <w:rsid w:val="001D6415"/>
    <w:rsid w:val="001E17EC"/>
    <w:rsid w:val="001E50CC"/>
    <w:rsid w:val="001E50FB"/>
    <w:rsid w:val="001E6592"/>
    <w:rsid w:val="001E734B"/>
    <w:rsid w:val="001E7690"/>
    <w:rsid w:val="001F64E1"/>
    <w:rsid w:val="001F70CE"/>
    <w:rsid w:val="001F75CB"/>
    <w:rsid w:val="00200360"/>
    <w:rsid w:val="00201EF4"/>
    <w:rsid w:val="00204F99"/>
    <w:rsid w:val="0020695E"/>
    <w:rsid w:val="00207611"/>
    <w:rsid w:val="00210CF9"/>
    <w:rsid w:val="00210D9C"/>
    <w:rsid w:val="002129BB"/>
    <w:rsid w:val="00213359"/>
    <w:rsid w:val="00215441"/>
    <w:rsid w:val="00215524"/>
    <w:rsid w:val="00216FA6"/>
    <w:rsid w:val="002226A3"/>
    <w:rsid w:val="002228E1"/>
    <w:rsid w:val="00224316"/>
    <w:rsid w:val="00225B24"/>
    <w:rsid w:val="00226599"/>
    <w:rsid w:val="0022688C"/>
    <w:rsid w:val="00233371"/>
    <w:rsid w:val="002407BB"/>
    <w:rsid w:val="00241F09"/>
    <w:rsid w:val="002457E6"/>
    <w:rsid w:val="00254DF4"/>
    <w:rsid w:val="00255D9B"/>
    <w:rsid w:val="00257689"/>
    <w:rsid w:val="00263F83"/>
    <w:rsid w:val="00264F11"/>
    <w:rsid w:val="00266590"/>
    <w:rsid w:val="00266E4F"/>
    <w:rsid w:val="002742A7"/>
    <w:rsid w:val="002753DA"/>
    <w:rsid w:val="00277048"/>
    <w:rsid w:val="0027706D"/>
    <w:rsid w:val="0028220E"/>
    <w:rsid w:val="00283E6B"/>
    <w:rsid w:val="002842C8"/>
    <w:rsid w:val="002869BD"/>
    <w:rsid w:val="00286D97"/>
    <w:rsid w:val="002875F6"/>
    <w:rsid w:val="00291551"/>
    <w:rsid w:val="00293CDE"/>
    <w:rsid w:val="00295772"/>
    <w:rsid w:val="00295A03"/>
    <w:rsid w:val="002A242A"/>
    <w:rsid w:val="002A6B8F"/>
    <w:rsid w:val="002B1B79"/>
    <w:rsid w:val="002B29DF"/>
    <w:rsid w:val="002B66B3"/>
    <w:rsid w:val="002B679F"/>
    <w:rsid w:val="002B7CD4"/>
    <w:rsid w:val="002C4239"/>
    <w:rsid w:val="002D05B5"/>
    <w:rsid w:val="002D0717"/>
    <w:rsid w:val="002D07B8"/>
    <w:rsid w:val="002D0D5B"/>
    <w:rsid w:val="002D0FD1"/>
    <w:rsid w:val="002D2458"/>
    <w:rsid w:val="002D2CF7"/>
    <w:rsid w:val="002D438F"/>
    <w:rsid w:val="002D4AD6"/>
    <w:rsid w:val="002D51C1"/>
    <w:rsid w:val="002D6794"/>
    <w:rsid w:val="002D6E0A"/>
    <w:rsid w:val="002D755C"/>
    <w:rsid w:val="002E24D2"/>
    <w:rsid w:val="002E53C7"/>
    <w:rsid w:val="002E6444"/>
    <w:rsid w:val="002F0696"/>
    <w:rsid w:val="002F0941"/>
    <w:rsid w:val="002F3C89"/>
    <w:rsid w:val="002F3DC6"/>
    <w:rsid w:val="002F5A20"/>
    <w:rsid w:val="002F706F"/>
    <w:rsid w:val="00301A1D"/>
    <w:rsid w:val="00301AA5"/>
    <w:rsid w:val="0030338D"/>
    <w:rsid w:val="00303941"/>
    <w:rsid w:val="00303BC9"/>
    <w:rsid w:val="0030654E"/>
    <w:rsid w:val="00306792"/>
    <w:rsid w:val="0031187C"/>
    <w:rsid w:val="00314D88"/>
    <w:rsid w:val="00315D13"/>
    <w:rsid w:val="0032074A"/>
    <w:rsid w:val="0032143F"/>
    <w:rsid w:val="003217C0"/>
    <w:rsid w:val="0032354D"/>
    <w:rsid w:val="00325D30"/>
    <w:rsid w:val="0032613C"/>
    <w:rsid w:val="00330664"/>
    <w:rsid w:val="00332512"/>
    <w:rsid w:val="00336D10"/>
    <w:rsid w:val="0033708C"/>
    <w:rsid w:val="00340212"/>
    <w:rsid w:val="003426F5"/>
    <w:rsid w:val="0034545C"/>
    <w:rsid w:val="00346545"/>
    <w:rsid w:val="0034720B"/>
    <w:rsid w:val="00347CB1"/>
    <w:rsid w:val="00351BBA"/>
    <w:rsid w:val="00352048"/>
    <w:rsid w:val="00352893"/>
    <w:rsid w:val="0035337C"/>
    <w:rsid w:val="00353AB2"/>
    <w:rsid w:val="00360D0D"/>
    <w:rsid w:val="00364C1F"/>
    <w:rsid w:val="003666DB"/>
    <w:rsid w:val="0037361E"/>
    <w:rsid w:val="00373B07"/>
    <w:rsid w:val="00373CFB"/>
    <w:rsid w:val="003745A5"/>
    <w:rsid w:val="00374FA4"/>
    <w:rsid w:val="00375E17"/>
    <w:rsid w:val="00375EAD"/>
    <w:rsid w:val="00380257"/>
    <w:rsid w:val="0038312E"/>
    <w:rsid w:val="003844A4"/>
    <w:rsid w:val="00392252"/>
    <w:rsid w:val="00397FBD"/>
    <w:rsid w:val="003A2062"/>
    <w:rsid w:val="003A2138"/>
    <w:rsid w:val="003A4616"/>
    <w:rsid w:val="003A4713"/>
    <w:rsid w:val="003A4F59"/>
    <w:rsid w:val="003A79BA"/>
    <w:rsid w:val="003B127A"/>
    <w:rsid w:val="003B12CB"/>
    <w:rsid w:val="003B3E19"/>
    <w:rsid w:val="003C242A"/>
    <w:rsid w:val="003C4DC4"/>
    <w:rsid w:val="003C5037"/>
    <w:rsid w:val="003C5113"/>
    <w:rsid w:val="003D21E0"/>
    <w:rsid w:val="003D6F34"/>
    <w:rsid w:val="003E13D5"/>
    <w:rsid w:val="003E1E1D"/>
    <w:rsid w:val="003E29C8"/>
    <w:rsid w:val="003E467D"/>
    <w:rsid w:val="003E6D7A"/>
    <w:rsid w:val="003E7BCC"/>
    <w:rsid w:val="003F0E5D"/>
    <w:rsid w:val="003F416B"/>
    <w:rsid w:val="003F4A2C"/>
    <w:rsid w:val="003F5602"/>
    <w:rsid w:val="0040097E"/>
    <w:rsid w:val="0040236F"/>
    <w:rsid w:val="004035A7"/>
    <w:rsid w:val="00403889"/>
    <w:rsid w:val="00404C98"/>
    <w:rsid w:val="0040501C"/>
    <w:rsid w:val="0041150A"/>
    <w:rsid w:val="00412797"/>
    <w:rsid w:val="00413DA4"/>
    <w:rsid w:val="00422A8F"/>
    <w:rsid w:val="00422C5E"/>
    <w:rsid w:val="00423600"/>
    <w:rsid w:val="00423B9D"/>
    <w:rsid w:val="00425163"/>
    <w:rsid w:val="00426F7F"/>
    <w:rsid w:val="00432376"/>
    <w:rsid w:val="0043322F"/>
    <w:rsid w:val="00433A00"/>
    <w:rsid w:val="0043595D"/>
    <w:rsid w:val="0043728B"/>
    <w:rsid w:val="00441F1F"/>
    <w:rsid w:val="00441FC9"/>
    <w:rsid w:val="004446A6"/>
    <w:rsid w:val="00445B81"/>
    <w:rsid w:val="00447A3A"/>
    <w:rsid w:val="00451681"/>
    <w:rsid w:val="00452B87"/>
    <w:rsid w:val="00455FA0"/>
    <w:rsid w:val="00456DAF"/>
    <w:rsid w:val="00456FB1"/>
    <w:rsid w:val="00457956"/>
    <w:rsid w:val="0046194C"/>
    <w:rsid w:val="00464F04"/>
    <w:rsid w:val="00467DB8"/>
    <w:rsid w:val="00473697"/>
    <w:rsid w:val="00476B8E"/>
    <w:rsid w:val="004770A5"/>
    <w:rsid w:val="0048393D"/>
    <w:rsid w:val="004841DC"/>
    <w:rsid w:val="004853DE"/>
    <w:rsid w:val="00485742"/>
    <w:rsid w:val="00485B26"/>
    <w:rsid w:val="004861B9"/>
    <w:rsid w:val="004862BF"/>
    <w:rsid w:val="00486E28"/>
    <w:rsid w:val="00487B8A"/>
    <w:rsid w:val="0049561B"/>
    <w:rsid w:val="00495909"/>
    <w:rsid w:val="00495EBC"/>
    <w:rsid w:val="004A0070"/>
    <w:rsid w:val="004A34E6"/>
    <w:rsid w:val="004A3BCA"/>
    <w:rsid w:val="004A3D33"/>
    <w:rsid w:val="004A4ED8"/>
    <w:rsid w:val="004A5875"/>
    <w:rsid w:val="004B28E6"/>
    <w:rsid w:val="004B6F12"/>
    <w:rsid w:val="004C47AB"/>
    <w:rsid w:val="004C629F"/>
    <w:rsid w:val="004D6308"/>
    <w:rsid w:val="004D7BC3"/>
    <w:rsid w:val="004E2BFE"/>
    <w:rsid w:val="004E5B43"/>
    <w:rsid w:val="004F0D28"/>
    <w:rsid w:val="004F211B"/>
    <w:rsid w:val="004F295B"/>
    <w:rsid w:val="004F3EFB"/>
    <w:rsid w:val="004F6381"/>
    <w:rsid w:val="004F6C66"/>
    <w:rsid w:val="004F7A90"/>
    <w:rsid w:val="00501F51"/>
    <w:rsid w:val="00502C55"/>
    <w:rsid w:val="00503EF6"/>
    <w:rsid w:val="00504ED3"/>
    <w:rsid w:val="00505413"/>
    <w:rsid w:val="00507437"/>
    <w:rsid w:val="00507DC7"/>
    <w:rsid w:val="00511EC2"/>
    <w:rsid w:val="00512D1D"/>
    <w:rsid w:val="00512F50"/>
    <w:rsid w:val="00516D69"/>
    <w:rsid w:val="0052018E"/>
    <w:rsid w:val="005213CC"/>
    <w:rsid w:val="00522199"/>
    <w:rsid w:val="00522634"/>
    <w:rsid w:val="005236FE"/>
    <w:rsid w:val="00525099"/>
    <w:rsid w:val="005267CC"/>
    <w:rsid w:val="00531125"/>
    <w:rsid w:val="0053153F"/>
    <w:rsid w:val="00542AB3"/>
    <w:rsid w:val="00542E2A"/>
    <w:rsid w:val="00546C9B"/>
    <w:rsid w:val="0055146B"/>
    <w:rsid w:val="005533AC"/>
    <w:rsid w:val="005546C2"/>
    <w:rsid w:val="005570D2"/>
    <w:rsid w:val="00563908"/>
    <w:rsid w:val="005645C5"/>
    <w:rsid w:val="00565F57"/>
    <w:rsid w:val="00567C09"/>
    <w:rsid w:val="0057156C"/>
    <w:rsid w:val="0057226B"/>
    <w:rsid w:val="005726AD"/>
    <w:rsid w:val="0057484C"/>
    <w:rsid w:val="005756FB"/>
    <w:rsid w:val="005759AC"/>
    <w:rsid w:val="00581498"/>
    <w:rsid w:val="00581DB5"/>
    <w:rsid w:val="00582B17"/>
    <w:rsid w:val="00585922"/>
    <w:rsid w:val="00585A7E"/>
    <w:rsid w:val="00590E8B"/>
    <w:rsid w:val="00591B96"/>
    <w:rsid w:val="005933EE"/>
    <w:rsid w:val="0059483E"/>
    <w:rsid w:val="00594B95"/>
    <w:rsid w:val="00595BB6"/>
    <w:rsid w:val="00596AE0"/>
    <w:rsid w:val="005A144E"/>
    <w:rsid w:val="005A163F"/>
    <w:rsid w:val="005A184A"/>
    <w:rsid w:val="005A5408"/>
    <w:rsid w:val="005B033A"/>
    <w:rsid w:val="005C28DE"/>
    <w:rsid w:val="005C30B7"/>
    <w:rsid w:val="005C39F9"/>
    <w:rsid w:val="005C5927"/>
    <w:rsid w:val="005C5C8D"/>
    <w:rsid w:val="005C6075"/>
    <w:rsid w:val="005C62C5"/>
    <w:rsid w:val="005C7215"/>
    <w:rsid w:val="005D1EF3"/>
    <w:rsid w:val="005D26C5"/>
    <w:rsid w:val="005D68E9"/>
    <w:rsid w:val="005D6CF6"/>
    <w:rsid w:val="005E082C"/>
    <w:rsid w:val="005E2C8C"/>
    <w:rsid w:val="005E5832"/>
    <w:rsid w:val="005F32F8"/>
    <w:rsid w:val="005F4279"/>
    <w:rsid w:val="005F4824"/>
    <w:rsid w:val="005F5D5B"/>
    <w:rsid w:val="005F6D14"/>
    <w:rsid w:val="00600B0E"/>
    <w:rsid w:val="0060386C"/>
    <w:rsid w:val="006056E5"/>
    <w:rsid w:val="00605CC5"/>
    <w:rsid w:val="00606A3B"/>
    <w:rsid w:val="006100E2"/>
    <w:rsid w:val="006105CE"/>
    <w:rsid w:val="00613D0B"/>
    <w:rsid w:val="00613FE5"/>
    <w:rsid w:val="00615799"/>
    <w:rsid w:val="006172AC"/>
    <w:rsid w:val="00622864"/>
    <w:rsid w:val="006250EC"/>
    <w:rsid w:val="006251C8"/>
    <w:rsid w:val="006268D0"/>
    <w:rsid w:val="00635F8E"/>
    <w:rsid w:val="00636D18"/>
    <w:rsid w:val="00641AA2"/>
    <w:rsid w:val="0065137A"/>
    <w:rsid w:val="00651716"/>
    <w:rsid w:val="00652FE4"/>
    <w:rsid w:val="00657018"/>
    <w:rsid w:val="00660B25"/>
    <w:rsid w:val="00666672"/>
    <w:rsid w:val="006676BB"/>
    <w:rsid w:val="00673096"/>
    <w:rsid w:val="0067445A"/>
    <w:rsid w:val="0067711E"/>
    <w:rsid w:val="00677C8D"/>
    <w:rsid w:val="00680CC9"/>
    <w:rsid w:val="00683DD1"/>
    <w:rsid w:val="00684CA4"/>
    <w:rsid w:val="00685E59"/>
    <w:rsid w:val="0068782A"/>
    <w:rsid w:val="006902FB"/>
    <w:rsid w:val="00691BA2"/>
    <w:rsid w:val="00692597"/>
    <w:rsid w:val="00692A5C"/>
    <w:rsid w:val="0069391A"/>
    <w:rsid w:val="00693FD4"/>
    <w:rsid w:val="006960B9"/>
    <w:rsid w:val="006A1422"/>
    <w:rsid w:val="006A4192"/>
    <w:rsid w:val="006A74E6"/>
    <w:rsid w:val="006B0AD9"/>
    <w:rsid w:val="006B3E30"/>
    <w:rsid w:val="006B4836"/>
    <w:rsid w:val="006B58C1"/>
    <w:rsid w:val="006B5A62"/>
    <w:rsid w:val="006B62E1"/>
    <w:rsid w:val="006B6403"/>
    <w:rsid w:val="006C0F46"/>
    <w:rsid w:val="006C3CB9"/>
    <w:rsid w:val="006D19A4"/>
    <w:rsid w:val="006D40D8"/>
    <w:rsid w:val="006D4736"/>
    <w:rsid w:val="006D5277"/>
    <w:rsid w:val="006D7352"/>
    <w:rsid w:val="006E04E1"/>
    <w:rsid w:val="006E1E45"/>
    <w:rsid w:val="006E5C7D"/>
    <w:rsid w:val="006F032A"/>
    <w:rsid w:val="006F25F2"/>
    <w:rsid w:val="006F36F0"/>
    <w:rsid w:val="006F4199"/>
    <w:rsid w:val="00705311"/>
    <w:rsid w:val="00705EE8"/>
    <w:rsid w:val="00706527"/>
    <w:rsid w:val="007075A7"/>
    <w:rsid w:val="007076FA"/>
    <w:rsid w:val="00710692"/>
    <w:rsid w:val="007106ED"/>
    <w:rsid w:val="00710D77"/>
    <w:rsid w:val="007205CB"/>
    <w:rsid w:val="00724F7C"/>
    <w:rsid w:val="00725299"/>
    <w:rsid w:val="007272C5"/>
    <w:rsid w:val="00731174"/>
    <w:rsid w:val="00740DE3"/>
    <w:rsid w:val="0074267C"/>
    <w:rsid w:val="007432E6"/>
    <w:rsid w:val="0074421F"/>
    <w:rsid w:val="00744535"/>
    <w:rsid w:val="00745DC4"/>
    <w:rsid w:val="00753E03"/>
    <w:rsid w:val="007555BB"/>
    <w:rsid w:val="00761983"/>
    <w:rsid w:val="00764CDA"/>
    <w:rsid w:val="0076518E"/>
    <w:rsid w:val="00767357"/>
    <w:rsid w:val="00771D07"/>
    <w:rsid w:val="007725E3"/>
    <w:rsid w:val="00774E17"/>
    <w:rsid w:val="00777DDF"/>
    <w:rsid w:val="00780324"/>
    <w:rsid w:val="00780F24"/>
    <w:rsid w:val="0078231B"/>
    <w:rsid w:val="00786F26"/>
    <w:rsid w:val="00791242"/>
    <w:rsid w:val="00793225"/>
    <w:rsid w:val="0079358B"/>
    <w:rsid w:val="00793A93"/>
    <w:rsid w:val="007941FE"/>
    <w:rsid w:val="00794A1F"/>
    <w:rsid w:val="007A04A7"/>
    <w:rsid w:val="007A25F2"/>
    <w:rsid w:val="007A43CB"/>
    <w:rsid w:val="007A680A"/>
    <w:rsid w:val="007B0489"/>
    <w:rsid w:val="007B144C"/>
    <w:rsid w:val="007B39BF"/>
    <w:rsid w:val="007C17AD"/>
    <w:rsid w:val="007C1E22"/>
    <w:rsid w:val="007C229E"/>
    <w:rsid w:val="007C3E48"/>
    <w:rsid w:val="007D07C9"/>
    <w:rsid w:val="007D563C"/>
    <w:rsid w:val="007D6247"/>
    <w:rsid w:val="007D6F85"/>
    <w:rsid w:val="007E069A"/>
    <w:rsid w:val="007E1A63"/>
    <w:rsid w:val="007F593A"/>
    <w:rsid w:val="007F6E1F"/>
    <w:rsid w:val="007F7923"/>
    <w:rsid w:val="00800058"/>
    <w:rsid w:val="0080108D"/>
    <w:rsid w:val="00802EBA"/>
    <w:rsid w:val="0080332D"/>
    <w:rsid w:val="0080572F"/>
    <w:rsid w:val="008062C8"/>
    <w:rsid w:val="00806D29"/>
    <w:rsid w:val="00807BE0"/>
    <w:rsid w:val="008143C1"/>
    <w:rsid w:val="008152BD"/>
    <w:rsid w:val="00822910"/>
    <w:rsid w:val="00823AFB"/>
    <w:rsid w:val="0083349E"/>
    <w:rsid w:val="00833D65"/>
    <w:rsid w:val="00833DC3"/>
    <w:rsid w:val="00834D22"/>
    <w:rsid w:val="00835DEB"/>
    <w:rsid w:val="0083740C"/>
    <w:rsid w:val="00840679"/>
    <w:rsid w:val="0084116B"/>
    <w:rsid w:val="00842005"/>
    <w:rsid w:val="0084213E"/>
    <w:rsid w:val="00842C06"/>
    <w:rsid w:val="008437AF"/>
    <w:rsid w:val="00844971"/>
    <w:rsid w:val="008457F1"/>
    <w:rsid w:val="0084668C"/>
    <w:rsid w:val="00847D62"/>
    <w:rsid w:val="008507C4"/>
    <w:rsid w:val="0085388B"/>
    <w:rsid w:val="00854504"/>
    <w:rsid w:val="008548B0"/>
    <w:rsid w:val="0086499C"/>
    <w:rsid w:val="00865343"/>
    <w:rsid w:val="00870B9D"/>
    <w:rsid w:val="00872BA4"/>
    <w:rsid w:val="008755A1"/>
    <w:rsid w:val="00876DF7"/>
    <w:rsid w:val="00877817"/>
    <w:rsid w:val="00881DAB"/>
    <w:rsid w:val="00884A59"/>
    <w:rsid w:val="00884D79"/>
    <w:rsid w:val="00885A9B"/>
    <w:rsid w:val="00886652"/>
    <w:rsid w:val="008877A9"/>
    <w:rsid w:val="0088788A"/>
    <w:rsid w:val="00890847"/>
    <w:rsid w:val="00893689"/>
    <w:rsid w:val="00893D0F"/>
    <w:rsid w:val="008965E3"/>
    <w:rsid w:val="008A0B85"/>
    <w:rsid w:val="008A122C"/>
    <w:rsid w:val="008A1711"/>
    <w:rsid w:val="008A225E"/>
    <w:rsid w:val="008A2D10"/>
    <w:rsid w:val="008A37B4"/>
    <w:rsid w:val="008A4A47"/>
    <w:rsid w:val="008A6A7C"/>
    <w:rsid w:val="008B386C"/>
    <w:rsid w:val="008B5001"/>
    <w:rsid w:val="008B5815"/>
    <w:rsid w:val="008B6DD5"/>
    <w:rsid w:val="008C28B8"/>
    <w:rsid w:val="008C2A72"/>
    <w:rsid w:val="008C7BA7"/>
    <w:rsid w:val="008C7C1F"/>
    <w:rsid w:val="008D2CB2"/>
    <w:rsid w:val="008D35D8"/>
    <w:rsid w:val="008E5465"/>
    <w:rsid w:val="008E5A44"/>
    <w:rsid w:val="008E6413"/>
    <w:rsid w:val="008E70C2"/>
    <w:rsid w:val="008E757C"/>
    <w:rsid w:val="008F066B"/>
    <w:rsid w:val="008F4E4B"/>
    <w:rsid w:val="008F544F"/>
    <w:rsid w:val="008F61EE"/>
    <w:rsid w:val="008F6D40"/>
    <w:rsid w:val="009000D1"/>
    <w:rsid w:val="00900909"/>
    <w:rsid w:val="0090143E"/>
    <w:rsid w:val="0090146B"/>
    <w:rsid w:val="00902895"/>
    <w:rsid w:val="00902E9E"/>
    <w:rsid w:val="009066E7"/>
    <w:rsid w:val="0090674B"/>
    <w:rsid w:val="00910464"/>
    <w:rsid w:val="00912289"/>
    <w:rsid w:val="009136E6"/>
    <w:rsid w:val="00913916"/>
    <w:rsid w:val="009141DC"/>
    <w:rsid w:val="009144BF"/>
    <w:rsid w:val="009209BD"/>
    <w:rsid w:val="00922594"/>
    <w:rsid w:val="00923E26"/>
    <w:rsid w:val="009248A1"/>
    <w:rsid w:val="009258A6"/>
    <w:rsid w:val="00933303"/>
    <w:rsid w:val="00934EC5"/>
    <w:rsid w:val="0093621E"/>
    <w:rsid w:val="0094014D"/>
    <w:rsid w:val="00941F66"/>
    <w:rsid w:val="009423B2"/>
    <w:rsid w:val="00944673"/>
    <w:rsid w:val="00947D4E"/>
    <w:rsid w:val="00953947"/>
    <w:rsid w:val="009543CA"/>
    <w:rsid w:val="00954865"/>
    <w:rsid w:val="00956343"/>
    <w:rsid w:val="009563BA"/>
    <w:rsid w:val="009567EE"/>
    <w:rsid w:val="00957C51"/>
    <w:rsid w:val="00961C59"/>
    <w:rsid w:val="00963EB4"/>
    <w:rsid w:val="00964586"/>
    <w:rsid w:val="00971F93"/>
    <w:rsid w:val="00972833"/>
    <w:rsid w:val="0098465B"/>
    <w:rsid w:val="00996B74"/>
    <w:rsid w:val="009A1942"/>
    <w:rsid w:val="009A2452"/>
    <w:rsid w:val="009A3C7E"/>
    <w:rsid w:val="009A5507"/>
    <w:rsid w:val="009A5807"/>
    <w:rsid w:val="009B2A78"/>
    <w:rsid w:val="009B3F78"/>
    <w:rsid w:val="009B554A"/>
    <w:rsid w:val="009B62CA"/>
    <w:rsid w:val="009B658D"/>
    <w:rsid w:val="009B7E33"/>
    <w:rsid w:val="009C14C7"/>
    <w:rsid w:val="009C214C"/>
    <w:rsid w:val="009C5D09"/>
    <w:rsid w:val="009D2877"/>
    <w:rsid w:val="009D2C14"/>
    <w:rsid w:val="009D3B23"/>
    <w:rsid w:val="009D53EE"/>
    <w:rsid w:val="009D738B"/>
    <w:rsid w:val="009E0835"/>
    <w:rsid w:val="009E7AC1"/>
    <w:rsid w:val="009E7E3B"/>
    <w:rsid w:val="009F18FD"/>
    <w:rsid w:val="009F35DB"/>
    <w:rsid w:val="009F68FE"/>
    <w:rsid w:val="00A00C52"/>
    <w:rsid w:val="00A015F0"/>
    <w:rsid w:val="00A0170F"/>
    <w:rsid w:val="00A03C55"/>
    <w:rsid w:val="00A03F1C"/>
    <w:rsid w:val="00A06040"/>
    <w:rsid w:val="00A06983"/>
    <w:rsid w:val="00A06DA6"/>
    <w:rsid w:val="00A10DF9"/>
    <w:rsid w:val="00A13819"/>
    <w:rsid w:val="00A15403"/>
    <w:rsid w:val="00A15953"/>
    <w:rsid w:val="00A15B0F"/>
    <w:rsid w:val="00A21ADE"/>
    <w:rsid w:val="00A224A7"/>
    <w:rsid w:val="00A2519A"/>
    <w:rsid w:val="00A264E1"/>
    <w:rsid w:val="00A27F03"/>
    <w:rsid w:val="00A30CC2"/>
    <w:rsid w:val="00A3250F"/>
    <w:rsid w:val="00A32FC0"/>
    <w:rsid w:val="00A3474C"/>
    <w:rsid w:val="00A364F5"/>
    <w:rsid w:val="00A37AAD"/>
    <w:rsid w:val="00A432A8"/>
    <w:rsid w:val="00A448A6"/>
    <w:rsid w:val="00A456DA"/>
    <w:rsid w:val="00A46B4C"/>
    <w:rsid w:val="00A56583"/>
    <w:rsid w:val="00A57C2A"/>
    <w:rsid w:val="00A60FC7"/>
    <w:rsid w:val="00A62930"/>
    <w:rsid w:val="00A63852"/>
    <w:rsid w:val="00A657D8"/>
    <w:rsid w:val="00A67997"/>
    <w:rsid w:val="00A67B76"/>
    <w:rsid w:val="00A73832"/>
    <w:rsid w:val="00A73ACA"/>
    <w:rsid w:val="00A74431"/>
    <w:rsid w:val="00A76E41"/>
    <w:rsid w:val="00A81DAB"/>
    <w:rsid w:val="00A83733"/>
    <w:rsid w:val="00A839E6"/>
    <w:rsid w:val="00A83A3E"/>
    <w:rsid w:val="00A874F2"/>
    <w:rsid w:val="00A87ACE"/>
    <w:rsid w:val="00A87AEF"/>
    <w:rsid w:val="00A90D67"/>
    <w:rsid w:val="00A926E2"/>
    <w:rsid w:val="00A94255"/>
    <w:rsid w:val="00A94CC2"/>
    <w:rsid w:val="00A95532"/>
    <w:rsid w:val="00AA13F7"/>
    <w:rsid w:val="00AA2BAA"/>
    <w:rsid w:val="00AA3561"/>
    <w:rsid w:val="00AA4B0E"/>
    <w:rsid w:val="00AA5561"/>
    <w:rsid w:val="00AA63DF"/>
    <w:rsid w:val="00AB1026"/>
    <w:rsid w:val="00AB7299"/>
    <w:rsid w:val="00AB7673"/>
    <w:rsid w:val="00AB79BB"/>
    <w:rsid w:val="00AC00F9"/>
    <w:rsid w:val="00AC37E5"/>
    <w:rsid w:val="00AC44C4"/>
    <w:rsid w:val="00AC621F"/>
    <w:rsid w:val="00AC77EE"/>
    <w:rsid w:val="00AD2397"/>
    <w:rsid w:val="00AD2B47"/>
    <w:rsid w:val="00AD64B4"/>
    <w:rsid w:val="00AD6787"/>
    <w:rsid w:val="00AE1ADE"/>
    <w:rsid w:val="00AE4365"/>
    <w:rsid w:val="00AE4B1F"/>
    <w:rsid w:val="00AF328B"/>
    <w:rsid w:val="00AF3DF2"/>
    <w:rsid w:val="00AF6DF7"/>
    <w:rsid w:val="00B006BD"/>
    <w:rsid w:val="00B00C1E"/>
    <w:rsid w:val="00B01279"/>
    <w:rsid w:val="00B025B1"/>
    <w:rsid w:val="00B15758"/>
    <w:rsid w:val="00B16CB2"/>
    <w:rsid w:val="00B175EC"/>
    <w:rsid w:val="00B20F25"/>
    <w:rsid w:val="00B2358E"/>
    <w:rsid w:val="00B23713"/>
    <w:rsid w:val="00B2499C"/>
    <w:rsid w:val="00B25801"/>
    <w:rsid w:val="00B31350"/>
    <w:rsid w:val="00B31B26"/>
    <w:rsid w:val="00B3275A"/>
    <w:rsid w:val="00B35205"/>
    <w:rsid w:val="00B36E84"/>
    <w:rsid w:val="00B40A07"/>
    <w:rsid w:val="00B40B25"/>
    <w:rsid w:val="00B40DD8"/>
    <w:rsid w:val="00B40EA0"/>
    <w:rsid w:val="00B41514"/>
    <w:rsid w:val="00B4655B"/>
    <w:rsid w:val="00B5174E"/>
    <w:rsid w:val="00B52506"/>
    <w:rsid w:val="00B56BD7"/>
    <w:rsid w:val="00B642BB"/>
    <w:rsid w:val="00B66CF1"/>
    <w:rsid w:val="00B67B5A"/>
    <w:rsid w:val="00B70182"/>
    <w:rsid w:val="00B73719"/>
    <w:rsid w:val="00B776CE"/>
    <w:rsid w:val="00B77AFD"/>
    <w:rsid w:val="00B836DE"/>
    <w:rsid w:val="00B83BB0"/>
    <w:rsid w:val="00B8415B"/>
    <w:rsid w:val="00B90CED"/>
    <w:rsid w:val="00B910C9"/>
    <w:rsid w:val="00B94A9D"/>
    <w:rsid w:val="00B94EDD"/>
    <w:rsid w:val="00B95A65"/>
    <w:rsid w:val="00B96583"/>
    <w:rsid w:val="00BA38B1"/>
    <w:rsid w:val="00BA3FD0"/>
    <w:rsid w:val="00BA58F3"/>
    <w:rsid w:val="00BB447D"/>
    <w:rsid w:val="00BB4BF3"/>
    <w:rsid w:val="00BB5EC0"/>
    <w:rsid w:val="00BB7F69"/>
    <w:rsid w:val="00BC10A0"/>
    <w:rsid w:val="00BC25D7"/>
    <w:rsid w:val="00BC4F03"/>
    <w:rsid w:val="00BC5399"/>
    <w:rsid w:val="00BC552E"/>
    <w:rsid w:val="00BD5C90"/>
    <w:rsid w:val="00BD7900"/>
    <w:rsid w:val="00BD79E3"/>
    <w:rsid w:val="00BE07F4"/>
    <w:rsid w:val="00BE2940"/>
    <w:rsid w:val="00BE403E"/>
    <w:rsid w:val="00BE536C"/>
    <w:rsid w:val="00BE53A4"/>
    <w:rsid w:val="00BE5B9A"/>
    <w:rsid w:val="00BE6F54"/>
    <w:rsid w:val="00BE70A1"/>
    <w:rsid w:val="00BE76F4"/>
    <w:rsid w:val="00BF12CE"/>
    <w:rsid w:val="00BF4E5A"/>
    <w:rsid w:val="00BF5E9E"/>
    <w:rsid w:val="00C00AAB"/>
    <w:rsid w:val="00C039CC"/>
    <w:rsid w:val="00C04658"/>
    <w:rsid w:val="00C07EDC"/>
    <w:rsid w:val="00C13CD0"/>
    <w:rsid w:val="00C1426C"/>
    <w:rsid w:val="00C14CC3"/>
    <w:rsid w:val="00C200C7"/>
    <w:rsid w:val="00C20356"/>
    <w:rsid w:val="00C204C4"/>
    <w:rsid w:val="00C2108A"/>
    <w:rsid w:val="00C22005"/>
    <w:rsid w:val="00C23629"/>
    <w:rsid w:val="00C23B8B"/>
    <w:rsid w:val="00C27C58"/>
    <w:rsid w:val="00C314B4"/>
    <w:rsid w:val="00C314C6"/>
    <w:rsid w:val="00C31F4C"/>
    <w:rsid w:val="00C33B13"/>
    <w:rsid w:val="00C37402"/>
    <w:rsid w:val="00C408B3"/>
    <w:rsid w:val="00C474FD"/>
    <w:rsid w:val="00C536E7"/>
    <w:rsid w:val="00C551B2"/>
    <w:rsid w:val="00C55A34"/>
    <w:rsid w:val="00C605C8"/>
    <w:rsid w:val="00C61448"/>
    <w:rsid w:val="00C61970"/>
    <w:rsid w:val="00C628B1"/>
    <w:rsid w:val="00C64859"/>
    <w:rsid w:val="00C70D0B"/>
    <w:rsid w:val="00C7275F"/>
    <w:rsid w:val="00C73824"/>
    <w:rsid w:val="00C75E6F"/>
    <w:rsid w:val="00C772BE"/>
    <w:rsid w:val="00C77C1F"/>
    <w:rsid w:val="00C800A1"/>
    <w:rsid w:val="00C81099"/>
    <w:rsid w:val="00C81E97"/>
    <w:rsid w:val="00C85287"/>
    <w:rsid w:val="00C90550"/>
    <w:rsid w:val="00C93421"/>
    <w:rsid w:val="00C93F19"/>
    <w:rsid w:val="00CB0319"/>
    <w:rsid w:val="00CB180D"/>
    <w:rsid w:val="00CB2D81"/>
    <w:rsid w:val="00CB53C7"/>
    <w:rsid w:val="00CB7D62"/>
    <w:rsid w:val="00CC0301"/>
    <w:rsid w:val="00CC07BD"/>
    <w:rsid w:val="00CC2590"/>
    <w:rsid w:val="00CC64DC"/>
    <w:rsid w:val="00CD09DE"/>
    <w:rsid w:val="00CD104C"/>
    <w:rsid w:val="00CD26F4"/>
    <w:rsid w:val="00CD27D3"/>
    <w:rsid w:val="00CD368A"/>
    <w:rsid w:val="00CD4420"/>
    <w:rsid w:val="00CD60DA"/>
    <w:rsid w:val="00CE078B"/>
    <w:rsid w:val="00CE4982"/>
    <w:rsid w:val="00CE593A"/>
    <w:rsid w:val="00CE62B3"/>
    <w:rsid w:val="00CE7C0D"/>
    <w:rsid w:val="00CF2007"/>
    <w:rsid w:val="00CF221A"/>
    <w:rsid w:val="00CF38F4"/>
    <w:rsid w:val="00CF3AF1"/>
    <w:rsid w:val="00CF7DAD"/>
    <w:rsid w:val="00D02C1C"/>
    <w:rsid w:val="00D04DF2"/>
    <w:rsid w:val="00D069B9"/>
    <w:rsid w:val="00D11B5E"/>
    <w:rsid w:val="00D12722"/>
    <w:rsid w:val="00D1347D"/>
    <w:rsid w:val="00D138B2"/>
    <w:rsid w:val="00D14151"/>
    <w:rsid w:val="00D14D9E"/>
    <w:rsid w:val="00D1509F"/>
    <w:rsid w:val="00D224EE"/>
    <w:rsid w:val="00D22957"/>
    <w:rsid w:val="00D22BD9"/>
    <w:rsid w:val="00D245E1"/>
    <w:rsid w:val="00D2527A"/>
    <w:rsid w:val="00D25819"/>
    <w:rsid w:val="00D26518"/>
    <w:rsid w:val="00D26766"/>
    <w:rsid w:val="00D26BD1"/>
    <w:rsid w:val="00D320A9"/>
    <w:rsid w:val="00D32216"/>
    <w:rsid w:val="00D33766"/>
    <w:rsid w:val="00D33B76"/>
    <w:rsid w:val="00D35773"/>
    <w:rsid w:val="00D36159"/>
    <w:rsid w:val="00D36904"/>
    <w:rsid w:val="00D40DB9"/>
    <w:rsid w:val="00D41C28"/>
    <w:rsid w:val="00D43363"/>
    <w:rsid w:val="00D508E8"/>
    <w:rsid w:val="00D5095D"/>
    <w:rsid w:val="00D549A4"/>
    <w:rsid w:val="00D54FC4"/>
    <w:rsid w:val="00D55A26"/>
    <w:rsid w:val="00D56E62"/>
    <w:rsid w:val="00D62F59"/>
    <w:rsid w:val="00D631EB"/>
    <w:rsid w:val="00D644B3"/>
    <w:rsid w:val="00D679A4"/>
    <w:rsid w:val="00D709ED"/>
    <w:rsid w:val="00D757A9"/>
    <w:rsid w:val="00D767D1"/>
    <w:rsid w:val="00D81BB1"/>
    <w:rsid w:val="00D81E41"/>
    <w:rsid w:val="00D8431E"/>
    <w:rsid w:val="00D86BE7"/>
    <w:rsid w:val="00D86CFA"/>
    <w:rsid w:val="00D87DE4"/>
    <w:rsid w:val="00D915FD"/>
    <w:rsid w:val="00D94698"/>
    <w:rsid w:val="00D96758"/>
    <w:rsid w:val="00D96C2B"/>
    <w:rsid w:val="00D9743D"/>
    <w:rsid w:val="00DA0AB0"/>
    <w:rsid w:val="00DA0FA6"/>
    <w:rsid w:val="00DA142E"/>
    <w:rsid w:val="00DA1837"/>
    <w:rsid w:val="00DA2E8D"/>
    <w:rsid w:val="00DA324F"/>
    <w:rsid w:val="00DA52AD"/>
    <w:rsid w:val="00DA57F7"/>
    <w:rsid w:val="00DA7FCD"/>
    <w:rsid w:val="00DB0511"/>
    <w:rsid w:val="00DB1110"/>
    <w:rsid w:val="00DB1223"/>
    <w:rsid w:val="00DB4C25"/>
    <w:rsid w:val="00DB5E4E"/>
    <w:rsid w:val="00DB6A7A"/>
    <w:rsid w:val="00DB769F"/>
    <w:rsid w:val="00DB7911"/>
    <w:rsid w:val="00DB79C2"/>
    <w:rsid w:val="00DC08D3"/>
    <w:rsid w:val="00DC497C"/>
    <w:rsid w:val="00DC5D93"/>
    <w:rsid w:val="00DC666E"/>
    <w:rsid w:val="00DC7BCF"/>
    <w:rsid w:val="00DD055E"/>
    <w:rsid w:val="00DD3072"/>
    <w:rsid w:val="00DD3DD8"/>
    <w:rsid w:val="00DD45D9"/>
    <w:rsid w:val="00DE2146"/>
    <w:rsid w:val="00DF0058"/>
    <w:rsid w:val="00DF47C6"/>
    <w:rsid w:val="00DF7E52"/>
    <w:rsid w:val="00E0638E"/>
    <w:rsid w:val="00E10393"/>
    <w:rsid w:val="00E11274"/>
    <w:rsid w:val="00E11FD9"/>
    <w:rsid w:val="00E14D0A"/>
    <w:rsid w:val="00E151B8"/>
    <w:rsid w:val="00E1613E"/>
    <w:rsid w:val="00E16CBB"/>
    <w:rsid w:val="00E17A64"/>
    <w:rsid w:val="00E2134E"/>
    <w:rsid w:val="00E22071"/>
    <w:rsid w:val="00E2311F"/>
    <w:rsid w:val="00E25BCF"/>
    <w:rsid w:val="00E26B7B"/>
    <w:rsid w:val="00E31708"/>
    <w:rsid w:val="00E3179F"/>
    <w:rsid w:val="00E31B65"/>
    <w:rsid w:val="00E34337"/>
    <w:rsid w:val="00E35CE7"/>
    <w:rsid w:val="00E42ABE"/>
    <w:rsid w:val="00E436ED"/>
    <w:rsid w:val="00E4691A"/>
    <w:rsid w:val="00E515EB"/>
    <w:rsid w:val="00E52595"/>
    <w:rsid w:val="00E53B1A"/>
    <w:rsid w:val="00E61953"/>
    <w:rsid w:val="00E61987"/>
    <w:rsid w:val="00E61AE1"/>
    <w:rsid w:val="00E6243E"/>
    <w:rsid w:val="00E66991"/>
    <w:rsid w:val="00E71813"/>
    <w:rsid w:val="00E732FA"/>
    <w:rsid w:val="00E73B53"/>
    <w:rsid w:val="00E747F7"/>
    <w:rsid w:val="00E8208C"/>
    <w:rsid w:val="00E90910"/>
    <w:rsid w:val="00E92A4B"/>
    <w:rsid w:val="00E9349E"/>
    <w:rsid w:val="00E93FC0"/>
    <w:rsid w:val="00E94236"/>
    <w:rsid w:val="00E9426C"/>
    <w:rsid w:val="00E95291"/>
    <w:rsid w:val="00E9545D"/>
    <w:rsid w:val="00E959E5"/>
    <w:rsid w:val="00EA55FF"/>
    <w:rsid w:val="00EA6528"/>
    <w:rsid w:val="00EA76BE"/>
    <w:rsid w:val="00EB1322"/>
    <w:rsid w:val="00EB15EC"/>
    <w:rsid w:val="00EB3550"/>
    <w:rsid w:val="00EB50AC"/>
    <w:rsid w:val="00EB5B3E"/>
    <w:rsid w:val="00EB7303"/>
    <w:rsid w:val="00EC0456"/>
    <w:rsid w:val="00EC1A43"/>
    <w:rsid w:val="00EC1FBF"/>
    <w:rsid w:val="00EC217E"/>
    <w:rsid w:val="00EC55DF"/>
    <w:rsid w:val="00EC71D0"/>
    <w:rsid w:val="00EC79E0"/>
    <w:rsid w:val="00ED70AE"/>
    <w:rsid w:val="00EE0BF0"/>
    <w:rsid w:val="00EE1768"/>
    <w:rsid w:val="00EE35ED"/>
    <w:rsid w:val="00EE383A"/>
    <w:rsid w:val="00EE4A39"/>
    <w:rsid w:val="00EE759E"/>
    <w:rsid w:val="00EF04FA"/>
    <w:rsid w:val="00EF092A"/>
    <w:rsid w:val="00EF0EAB"/>
    <w:rsid w:val="00EF475F"/>
    <w:rsid w:val="00EF5470"/>
    <w:rsid w:val="00EF6F96"/>
    <w:rsid w:val="00EF7447"/>
    <w:rsid w:val="00EF7C15"/>
    <w:rsid w:val="00F03137"/>
    <w:rsid w:val="00F1046E"/>
    <w:rsid w:val="00F13D9A"/>
    <w:rsid w:val="00F150F8"/>
    <w:rsid w:val="00F177AB"/>
    <w:rsid w:val="00F21A07"/>
    <w:rsid w:val="00F23088"/>
    <w:rsid w:val="00F235E6"/>
    <w:rsid w:val="00F2480D"/>
    <w:rsid w:val="00F24925"/>
    <w:rsid w:val="00F26484"/>
    <w:rsid w:val="00F308AF"/>
    <w:rsid w:val="00F315D2"/>
    <w:rsid w:val="00F3233C"/>
    <w:rsid w:val="00F346B7"/>
    <w:rsid w:val="00F367BF"/>
    <w:rsid w:val="00F44A75"/>
    <w:rsid w:val="00F4500C"/>
    <w:rsid w:val="00F45E4E"/>
    <w:rsid w:val="00F45E76"/>
    <w:rsid w:val="00F500AC"/>
    <w:rsid w:val="00F50A9F"/>
    <w:rsid w:val="00F52399"/>
    <w:rsid w:val="00F56BD0"/>
    <w:rsid w:val="00F60AEB"/>
    <w:rsid w:val="00F638E1"/>
    <w:rsid w:val="00F63CC5"/>
    <w:rsid w:val="00F70C46"/>
    <w:rsid w:val="00F7114B"/>
    <w:rsid w:val="00F74D44"/>
    <w:rsid w:val="00F83244"/>
    <w:rsid w:val="00F862E5"/>
    <w:rsid w:val="00F864DF"/>
    <w:rsid w:val="00F8746B"/>
    <w:rsid w:val="00F977BD"/>
    <w:rsid w:val="00FA5DB4"/>
    <w:rsid w:val="00FA5E37"/>
    <w:rsid w:val="00FA7489"/>
    <w:rsid w:val="00FB01FF"/>
    <w:rsid w:val="00FB042F"/>
    <w:rsid w:val="00FB10C5"/>
    <w:rsid w:val="00FB1D87"/>
    <w:rsid w:val="00FB2704"/>
    <w:rsid w:val="00FB367F"/>
    <w:rsid w:val="00FB4413"/>
    <w:rsid w:val="00FB5B4F"/>
    <w:rsid w:val="00FB76E9"/>
    <w:rsid w:val="00FC2B04"/>
    <w:rsid w:val="00FC3C30"/>
    <w:rsid w:val="00FC3CD9"/>
    <w:rsid w:val="00FC3DC5"/>
    <w:rsid w:val="00FC4F7C"/>
    <w:rsid w:val="00FC7CA9"/>
    <w:rsid w:val="00FD095B"/>
    <w:rsid w:val="00FD1721"/>
    <w:rsid w:val="00FD2CDF"/>
    <w:rsid w:val="00FD4FEF"/>
    <w:rsid w:val="00FD51B7"/>
    <w:rsid w:val="00FD5F59"/>
    <w:rsid w:val="00FD61FD"/>
    <w:rsid w:val="00FD7F22"/>
    <w:rsid w:val="00FE0A08"/>
    <w:rsid w:val="00FE1349"/>
    <w:rsid w:val="00FE206D"/>
    <w:rsid w:val="00FE2AF7"/>
    <w:rsid w:val="00FE2B05"/>
    <w:rsid w:val="00FE5FC6"/>
    <w:rsid w:val="00FE6881"/>
    <w:rsid w:val="00FE6A97"/>
    <w:rsid w:val="00FE7B85"/>
    <w:rsid w:val="00FE7C05"/>
    <w:rsid w:val="00FF2966"/>
    <w:rsid w:val="00FF3398"/>
    <w:rsid w:val="00FF3814"/>
    <w:rsid w:val="00FF4351"/>
    <w:rsid w:val="00FF6C22"/>
    <w:rsid w:val="086F288B"/>
    <w:rsid w:val="0ADA3134"/>
    <w:rsid w:val="399A7232"/>
    <w:rsid w:val="443A076B"/>
    <w:rsid w:val="4C056FA9"/>
    <w:rsid w:val="6E4826E1"/>
    <w:rsid w:val="778359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link w:val="2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Date"/>
    <w:basedOn w:val="1"/>
    <w:next w:val="1"/>
    <w:link w:val="26"/>
    <w:semiHidden/>
    <w:unhideWhenUsed/>
    <w:qFormat/>
    <w:uiPriority w:val="99"/>
    <w:pPr>
      <w:ind w:left="100" w:leftChars="2500"/>
    </w:pPr>
  </w:style>
  <w:style w:type="paragraph" w:styleId="5">
    <w:name w:val="Balloon Text"/>
    <w:basedOn w:val="1"/>
    <w:link w:val="18"/>
    <w:qFormat/>
    <w:uiPriority w:val="99"/>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sz w:val="24"/>
    </w:rPr>
  </w:style>
  <w:style w:type="paragraph" w:styleId="9">
    <w:name w:val="annotation subject"/>
    <w:basedOn w:val="3"/>
    <w:next w:val="3"/>
    <w:link w:val="22"/>
    <w:semiHidden/>
    <w:unhideWhenUsed/>
    <w:qFormat/>
    <w:uiPriority w:val="99"/>
    <w:rPr>
      <w:b/>
      <w:bCs/>
    </w:rPr>
  </w:style>
  <w:style w:type="table" w:styleId="11">
    <w:name w:val="Table Grid"/>
    <w:basedOn w:val="1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20"/>
    <w:rPr>
      <w:i/>
      <w:iCs/>
    </w:rPr>
  </w:style>
  <w:style w:type="character" w:styleId="14">
    <w:name w:val="line number"/>
    <w:basedOn w:val="12"/>
    <w:qFormat/>
    <w:uiPriority w:val="99"/>
  </w:style>
  <w:style w:type="character" w:styleId="15">
    <w:name w:val="Hyperlink"/>
    <w:basedOn w:val="12"/>
    <w:semiHidden/>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批注文字 Char"/>
    <w:link w:val="3"/>
    <w:qFormat/>
    <w:uiPriority w:val="0"/>
    <w:rPr>
      <w:rFonts w:ascii="Times New Roman" w:hAnsi="Times New Roman" w:eastAsia="宋体" w:cs="Times New Roman"/>
      <w:szCs w:val="24"/>
    </w:rPr>
  </w:style>
  <w:style w:type="character" w:customStyle="1" w:styleId="18">
    <w:name w:val="批注框文本 Char"/>
    <w:link w:val="5"/>
    <w:qFormat/>
    <w:uiPriority w:val="99"/>
    <w:rPr>
      <w:rFonts w:ascii="Times New Roman" w:hAnsi="Times New Roman" w:eastAsia="宋体" w:cs="Times New Roman"/>
      <w:sz w:val="18"/>
      <w:szCs w:val="18"/>
    </w:rPr>
  </w:style>
  <w:style w:type="character" w:customStyle="1" w:styleId="19">
    <w:name w:val="页眉 Char"/>
    <w:link w:val="7"/>
    <w:qFormat/>
    <w:uiPriority w:val="99"/>
    <w:rPr>
      <w:rFonts w:ascii="Times New Roman" w:hAnsi="Times New Roman" w:eastAsia="宋体"/>
      <w:kern w:val="2"/>
      <w:sz w:val="18"/>
      <w:szCs w:val="18"/>
    </w:rPr>
  </w:style>
  <w:style w:type="character" w:customStyle="1" w:styleId="20">
    <w:name w:val="页脚 Char"/>
    <w:link w:val="6"/>
    <w:qFormat/>
    <w:uiPriority w:val="99"/>
    <w:rPr>
      <w:rFonts w:ascii="Times New Roman" w:hAnsi="Times New Roman" w:eastAsia="宋体"/>
      <w:kern w:val="2"/>
      <w:sz w:val="18"/>
      <w:szCs w:val="18"/>
    </w:rPr>
  </w:style>
  <w:style w:type="paragraph" w:styleId="21">
    <w:name w:val="List Paragraph"/>
    <w:basedOn w:val="1"/>
    <w:qFormat/>
    <w:uiPriority w:val="34"/>
    <w:pPr>
      <w:ind w:firstLine="420" w:firstLineChars="200"/>
    </w:pPr>
  </w:style>
  <w:style w:type="character" w:customStyle="1" w:styleId="22">
    <w:name w:val="批注主题 Char"/>
    <w:basedOn w:val="17"/>
    <w:link w:val="9"/>
    <w:semiHidden/>
    <w:qFormat/>
    <w:uiPriority w:val="99"/>
    <w:rPr>
      <w:rFonts w:ascii="Times New Roman" w:hAnsi="Times New Roman" w:eastAsia="宋体" w:cs="Times New Roman"/>
      <w:b/>
      <w:bCs/>
      <w:kern w:val="2"/>
      <w:sz w:val="21"/>
      <w:szCs w:val="24"/>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标题 3 Char"/>
    <w:basedOn w:val="12"/>
    <w:link w:val="2"/>
    <w:qFormat/>
    <w:uiPriority w:val="9"/>
    <w:rPr>
      <w:rFonts w:ascii="宋体" w:hAnsi="宋体" w:eastAsia="宋体" w:cs="宋体"/>
      <w:b/>
      <w:bCs/>
      <w:sz w:val="27"/>
      <w:szCs w:val="27"/>
    </w:rPr>
  </w:style>
  <w:style w:type="character" w:customStyle="1" w:styleId="25">
    <w:name w:val="text_b5oqs"/>
    <w:basedOn w:val="12"/>
    <w:qFormat/>
    <w:uiPriority w:val="0"/>
  </w:style>
  <w:style w:type="character" w:customStyle="1" w:styleId="26">
    <w:name w:val="日期 Char"/>
    <w:basedOn w:val="12"/>
    <w:link w:val="4"/>
    <w:semiHidden/>
    <w:uiPriority w:val="99"/>
    <w:rPr>
      <w:rFonts w:ascii="Times New Roman" w:hAnsi="Times New Roman" w:eastAsia="宋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oter" Target="footer2.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AEE64AF389F9438AD04F611D62BBEC" ma:contentTypeVersion="12" ma:contentTypeDescription="Create a new document." ma:contentTypeScope="" ma:versionID="b1f4583d976520e9ce153fe591db3a5a">
  <xsd:schema xmlns:xsd="http://www.w3.org/2001/XMLSchema" xmlns:xs="http://www.w3.org/2001/XMLSchema" xmlns:p="http://schemas.microsoft.com/office/2006/metadata/properties" xmlns:ns2="58363b21-2bff-4b5a-b524-a3130b0e76f7" xmlns:ns3="28a58249-56d6-4cfb-9d89-b042c4b82e39" targetNamespace="http://schemas.microsoft.com/office/2006/metadata/properties" ma:root="true" ma:fieldsID="420ffb22649204fd9af5e9d68a562e4e" ns2:_="" ns3:_="">
    <xsd:import namespace="58363b21-2bff-4b5a-b524-a3130b0e76f7"/>
    <xsd:import namespace="28a58249-56d6-4cfb-9d89-b042c4b82e3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3b21-2bff-4b5a-b524-a3130b0e76f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58249-56d6-4cfb-9d89-b042c4b82e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D9A6D-1E75-403C-810A-0585FDA84262}">
  <ds:schemaRefs/>
</ds:datastoreItem>
</file>

<file path=customXml/itemProps2.xml><?xml version="1.0" encoding="utf-8"?>
<ds:datastoreItem xmlns:ds="http://schemas.openxmlformats.org/officeDocument/2006/customXml" ds:itemID="{67D53823-A72B-4031-A4FB-B84098C5A467}"/>
</file>

<file path=customXml/itemProps3.xml><?xml version="1.0" encoding="utf-8"?>
<ds:datastoreItem xmlns:ds="http://schemas.openxmlformats.org/officeDocument/2006/customXml" ds:itemID="{E6068169-0F12-4ECB-93DB-6007377C08E6}"/>
</file>

<file path=customXml/itemProps4.xml><?xml version="1.0" encoding="utf-8"?>
<ds:datastoreItem xmlns:ds="http://schemas.openxmlformats.org/officeDocument/2006/customXml" ds:itemID="{E3FAE3C5-4123-46BF-A999-4A72C7B35863}"/>
</file>

<file path=docProps/app.xml><?xml version="1.0" encoding="utf-8"?>
<Properties xmlns="http://schemas.openxmlformats.org/officeDocument/2006/extended-properties" xmlns:vt="http://schemas.openxmlformats.org/officeDocument/2006/docPropsVTypes">
  <Template>Normal</Template>
  <Company>Hewlett-Packard Company</Company>
  <Pages>19</Pages>
  <Words>4493</Words>
  <Characters>4811</Characters>
  <Lines>61</Lines>
  <Paragraphs>17</Paragraphs>
  <TotalTime>1</TotalTime>
  <ScaleCrop>false</ScaleCrop>
  <LinksUpToDate>false</LinksUpToDate>
  <CharactersWithSpaces>4831</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高田</cp:lastModifiedBy>
  <cp:revision>3</cp:revision>
  <cp:lastPrinted>2022-09-14T05:29:00Z</cp:lastPrinted>
  <dcterms:created xsi:type="dcterms:W3CDTF">2024-10-28T01:50:00Z</dcterms:created>
  <dcterms:modified xsi:type="dcterms:W3CDTF">2024-10-28T06:28:49Z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ad80bc43497446c0bcbe32bb42a98266</vt:lpwstr>
  </property>
  <property fmtid="{D5CDD505-2E9C-101B-9397-08002B2CF9AE}" pid="3" name="KSOProductBuildVer">
    <vt:lpwstr>2052-12.1.0.18888</vt:lpwstr>
  </property>
  <property fmtid="{D5CDD505-2E9C-101B-9397-08002B2CF9AE}" pid="4" name="ContentTypeId">
    <vt:lpwstr>0x0101001EAEE64AF389F9438AD04F611D62BBEC</vt:lpwstr>
  </property>
</Properties>
</file>